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70" w:rsidRDefault="00095B70" w:rsidP="00095B70">
      <w:pPr>
        <w:spacing w:before="240" w:after="240"/>
      </w:pPr>
      <w:r>
        <w:rPr>
          <w:i/>
          <w:iCs/>
          <w:sz w:val="28"/>
          <w:szCs w:val="28"/>
          <w:u w:val="single"/>
        </w:rPr>
        <w:t xml:space="preserve">19. melléklet a 44/2015. (XI. 2.) </w:t>
      </w:r>
      <w:proofErr w:type="spellStart"/>
      <w:r>
        <w:rPr>
          <w:i/>
          <w:iCs/>
          <w:sz w:val="28"/>
          <w:szCs w:val="28"/>
          <w:u w:val="single"/>
        </w:rPr>
        <w:t>MvM</w:t>
      </w:r>
      <w:proofErr w:type="spellEnd"/>
      <w:r>
        <w:rPr>
          <w:i/>
          <w:iCs/>
          <w:sz w:val="28"/>
          <w:szCs w:val="28"/>
          <w:u w:val="single"/>
        </w:rPr>
        <w:t xml:space="preserve"> rendelethe</w:t>
      </w:r>
      <w:r w:rsidR="00D34343">
        <w:rPr>
          <w:i/>
          <w:iCs/>
          <w:sz w:val="28"/>
          <w:szCs w:val="28"/>
          <w:u w:val="single"/>
        </w:rPr>
        <w:t>z</w:t>
      </w:r>
    </w:p>
    <w:p w:rsidR="00095B70" w:rsidRDefault="00095B70" w:rsidP="00095B70">
      <w:pPr>
        <w:jc w:val="both"/>
      </w:pPr>
      <w:r>
        <w:rPr>
          <w:b/>
          <w:bCs/>
        </w:rPr>
        <w:t>KÖZBESZERZÉSI ADATBÁZIS</w:t>
      </w:r>
    </w:p>
    <w:tbl>
      <w:tblPr>
        <w:tblW w:w="0" w:type="auto"/>
        <w:tblLayout w:type="fixed"/>
        <w:tblCellMar>
          <w:left w:w="0" w:type="dxa"/>
          <w:right w:w="0" w:type="dxa"/>
        </w:tblCellMar>
        <w:tblLook w:val="0000"/>
      </w:tblPr>
      <w:tblGrid>
        <w:gridCol w:w="4784"/>
        <w:gridCol w:w="2416"/>
        <w:gridCol w:w="2438"/>
      </w:tblGrid>
      <w:tr w:rsidR="00095B70" w:rsidTr="007B1BF4">
        <w:tblPrEx>
          <w:tblCellMar>
            <w:top w:w="0" w:type="dxa"/>
            <w:left w:w="0" w:type="dxa"/>
            <w:bottom w:w="0" w:type="dxa"/>
            <w:right w:w="0" w:type="dxa"/>
          </w:tblCellMar>
        </w:tblPrEx>
        <w:tc>
          <w:tcPr>
            <w:tcW w:w="9638" w:type="dxa"/>
            <w:gridSpan w:val="3"/>
            <w:tcBorders>
              <w:top w:val="nil"/>
              <w:left w:val="nil"/>
              <w:bottom w:val="nil"/>
              <w:right w:val="nil"/>
            </w:tcBorders>
          </w:tcPr>
          <w:p w:rsidR="00095B70" w:rsidRDefault="00095B70" w:rsidP="007B1BF4">
            <w:pPr>
              <w:spacing w:before="120" w:after="120"/>
              <w:ind w:left="56" w:right="56"/>
              <w:jc w:val="right"/>
              <w:rPr>
                <w:b/>
                <w:bCs/>
                <w:sz w:val="20"/>
                <w:szCs w:val="20"/>
              </w:rPr>
            </w:pPr>
            <w:r>
              <w:rPr>
                <w:sz w:val="20"/>
                <w:szCs w:val="20"/>
              </w:rPr>
              <w:t xml:space="preserve"> </w:t>
            </w:r>
            <w:r>
              <w:rPr>
                <w:b/>
                <w:bCs/>
                <w:sz w:val="20"/>
                <w:szCs w:val="20"/>
              </w:rPr>
              <w:t>Összefoglaló tájékoztatás</w:t>
            </w:r>
          </w:p>
        </w:tc>
      </w:tr>
      <w:tr w:rsidR="00095B70" w:rsidTr="007B1BF4">
        <w:tblPrEx>
          <w:tblCellMar>
            <w:top w:w="0" w:type="dxa"/>
            <w:left w:w="0" w:type="dxa"/>
            <w:bottom w:w="0" w:type="dxa"/>
            <w:right w:w="0" w:type="dxa"/>
          </w:tblCellMar>
        </w:tblPrEx>
        <w:tc>
          <w:tcPr>
            <w:tcW w:w="9638" w:type="dxa"/>
            <w:gridSpan w:val="3"/>
            <w:tcBorders>
              <w:top w:val="nil"/>
              <w:left w:val="nil"/>
              <w:bottom w:val="nil"/>
              <w:right w:val="nil"/>
            </w:tcBorders>
          </w:tcPr>
          <w:p w:rsidR="00095B70" w:rsidRDefault="00095B70" w:rsidP="007B1BF4">
            <w:pPr>
              <w:ind w:left="56" w:right="56"/>
              <w:jc w:val="right"/>
              <w:rPr>
                <w:i/>
                <w:iCs/>
                <w:sz w:val="20"/>
                <w:szCs w:val="20"/>
              </w:rPr>
            </w:pPr>
            <w:r>
              <w:rPr>
                <w:sz w:val="20"/>
                <w:szCs w:val="20"/>
              </w:rPr>
              <w:t xml:space="preserve"> </w:t>
            </w:r>
            <w:r>
              <w:rPr>
                <w:i/>
                <w:iCs/>
                <w:sz w:val="20"/>
                <w:szCs w:val="20"/>
              </w:rPr>
              <w:t>A Kbt. 113. § (1) bekezdés szerinti eljárások esetében.</w:t>
            </w:r>
          </w:p>
        </w:tc>
      </w:tr>
      <w:tr w:rsidR="00095B70" w:rsidTr="007B1BF4">
        <w:tblPrEx>
          <w:tblCellMar>
            <w:top w:w="0" w:type="dxa"/>
            <w:left w:w="0" w:type="dxa"/>
            <w:bottom w:w="0" w:type="dxa"/>
            <w:right w:w="0" w:type="dxa"/>
          </w:tblCellMar>
        </w:tblPrEx>
        <w:tc>
          <w:tcPr>
            <w:tcW w:w="9638" w:type="dxa"/>
            <w:gridSpan w:val="3"/>
            <w:tcBorders>
              <w:top w:val="nil"/>
              <w:left w:val="nil"/>
              <w:bottom w:val="nil"/>
              <w:right w:val="nil"/>
            </w:tcBorders>
          </w:tcPr>
          <w:p w:rsidR="00095B70" w:rsidRDefault="00095B70" w:rsidP="007B1BF4">
            <w:pPr>
              <w:ind w:left="56" w:right="56"/>
              <w:jc w:val="right"/>
              <w:rPr>
                <w:i/>
                <w:iCs/>
                <w:sz w:val="20"/>
                <w:szCs w:val="20"/>
              </w:rPr>
            </w:pPr>
            <w:r>
              <w:rPr>
                <w:sz w:val="20"/>
                <w:szCs w:val="20"/>
              </w:rPr>
              <w:t xml:space="preserve"> </w:t>
            </w:r>
            <w:r>
              <w:rPr>
                <w:i/>
                <w:iCs/>
                <w:sz w:val="20"/>
                <w:szCs w:val="20"/>
              </w:rPr>
              <w:t>Az érdekelt gazdasági szereplőknek tájékoztatniuk kell az ajánlatkérőt arról, hogy érdeklődnek az eljárás iránt.</w:t>
            </w:r>
          </w:p>
        </w:tc>
      </w:tr>
      <w:tr w:rsidR="00095B70" w:rsidTr="007B1BF4">
        <w:tblPrEx>
          <w:tblCellMar>
            <w:top w:w="0" w:type="dxa"/>
            <w:left w:w="0" w:type="dxa"/>
            <w:bottom w:w="0" w:type="dxa"/>
            <w:right w:w="0" w:type="dxa"/>
          </w:tblCellMar>
        </w:tblPrEx>
        <w:tc>
          <w:tcPr>
            <w:tcW w:w="9638" w:type="dxa"/>
            <w:gridSpan w:val="3"/>
            <w:tcBorders>
              <w:top w:val="nil"/>
              <w:left w:val="nil"/>
              <w:bottom w:val="nil"/>
              <w:right w:val="nil"/>
            </w:tcBorders>
          </w:tcPr>
          <w:p w:rsidR="00095B70" w:rsidRDefault="00095B70" w:rsidP="007B1BF4">
            <w:pPr>
              <w:jc w:val="right"/>
              <w:rPr>
                <w:i/>
                <w:iCs/>
                <w:sz w:val="20"/>
                <w:szCs w:val="20"/>
              </w:rPr>
            </w:pPr>
            <w:r>
              <w:rPr>
                <w:sz w:val="20"/>
                <w:szCs w:val="20"/>
              </w:rPr>
              <w:t xml:space="preserve"> </w:t>
            </w:r>
            <w:r>
              <w:rPr>
                <w:i/>
                <w:iCs/>
                <w:sz w:val="20"/>
                <w:szCs w:val="20"/>
              </w:rPr>
              <w:t>A Közbeszerzési Hatóság honlapján történő közzétételre.</w:t>
            </w:r>
          </w:p>
        </w:tc>
      </w:tr>
      <w:tr w:rsidR="00095B70" w:rsidTr="007B1BF4">
        <w:tblPrEx>
          <w:tblCellMar>
            <w:top w:w="0" w:type="dxa"/>
            <w:left w:w="0" w:type="dxa"/>
            <w:bottom w:w="0" w:type="dxa"/>
            <w:right w:w="0" w:type="dxa"/>
          </w:tblCellMar>
        </w:tblPrEx>
        <w:tc>
          <w:tcPr>
            <w:tcW w:w="9638" w:type="dxa"/>
            <w:gridSpan w:val="3"/>
            <w:tcBorders>
              <w:top w:val="nil"/>
              <w:left w:val="nil"/>
              <w:bottom w:val="nil"/>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I. szakasz: Ajánlatkérő</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spacing w:after="120"/>
              <w:ind w:left="56" w:right="56"/>
              <w:rPr>
                <w:i/>
                <w:iCs/>
                <w:sz w:val="20"/>
                <w:szCs w:val="20"/>
              </w:rPr>
            </w:pPr>
            <w:r>
              <w:rPr>
                <w:sz w:val="20"/>
                <w:szCs w:val="20"/>
              </w:rPr>
              <w:t xml:space="preserve"> </w:t>
            </w:r>
            <w:r>
              <w:rPr>
                <w:b/>
                <w:bCs/>
                <w:sz w:val="20"/>
                <w:szCs w:val="20"/>
              </w:rPr>
              <w:t>I.1) Név és címek</w:t>
            </w:r>
            <w:r>
              <w:rPr>
                <w:sz w:val="20"/>
                <w:szCs w:val="20"/>
              </w:rPr>
              <w:t xml:space="preserve">1 </w:t>
            </w:r>
            <w:r>
              <w:rPr>
                <w:i/>
                <w:iCs/>
                <w:sz w:val="20"/>
                <w:szCs w:val="20"/>
              </w:rPr>
              <w:t>(jelölje meg az eljárásért felelős összes ajánlatkérőt)</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Hivatalos név: </w:t>
            </w:r>
            <w:r w:rsidRPr="00095B70">
              <w:rPr>
                <w:color w:val="0070C0"/>
                <w:sz w:val="20"/>
                <w:szCs w:val="20"/>
              </w:rPr>
              <w:t>DÉMÁSZ Hálózati Elosztó Kft.</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095B70">
            <w:pPr>
              <w:ind w:left="56" w:right="56"/>
              <w:rPr>
                <w:sz w:val="20"/>
                <w:szCs w:val="20"/>
              </w:rPr>
            </w:pPr>
            <w:r>
              <w:rPr>
                <w:sz w:val="20"/>
                <w:szCs w:val="20"/>
              </w:rPr>
              <w:t xml:space="preserve"> Postai cím: </w:t>
            </w:r>
            <w:r w:rsidRPr="00095B70">
              <w:rPr>
                <w:color w:val="0070C0"/>
                <w:sz w:val="20"/>
                <w:szCs w:val="20"/>
              </w:rPr>
              <w:t>Kossuth Lajos sgt. 64-66.</w:t>
            </w:r>
          </w:p>
        </w:tc>
      </w:tr>
      <w:tr w:rsidR="00095B70" w:rsidTr="007B1BF4">
        <w:tblPrEx>
          <w:tblCellMar>
            <w:top w:w="0" w:type="dxa"/>
            <w:left w:w="0" w:type="dxa"/>
            <w:bottom w:w="0" w:type="dxa"/>
            <w:right w:w="0" w:type="dxa"/>
          </w:tblCellMar>
        </w:tblPrEx>
        <w:tc>
          <w:tcPr>
            <w:tcW w:w="4784" w:type="dxa"/>
            <w:tcBorders>
              <w:top w:val="single" w:sz="4" w:space="0" w:color="auto"/>
              <w:left w:val="single" w:sz="4" w:space="0" w:color="auto"/>
              <w:bottom w:val="single" w:sz="4" w:space="0" w:color="auto"/>
              <w:right w:val="single" w:sz="4" w:space="0" w:color="auto"/>
            </w:tcBorders>
          </w:tcPr>
          <w:p w:rsidR="00095B70" w:rsidRDefault="00095B70" w:rsidP="00095B70">
            <w:pPr>
              <w:ind w:left="56" w:right="56"/>
              <w:rPr>
                <w:sz w:val="20"/>
                <w:szCs w:val="20"/>
              </w:rPr>
            </w:pPr>
            <w:r>
              <w:rPr>
                <w:sz w:val="20"/>
                <w:szCs w:val="20"/>
              </w:rPr>
              <w:t xml:space="preserve"> Város: </w:t>
            </w:r>
            <w:r w:rsidRPr="00095B70">
              <w:rPr>
                <w:color w:val="0070C0"/>
                <w:sz w:val="20"/>
                <w:szCs w:val="20"/>
              </w:rPr>
              <w:t>Szeged</w:t>
            </w:r>
          </w:p>
        </w:tc>
        <w:tc>
          <w:tcPr>
            <w:tcW w:w="2416" w:type="dxa"/>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Postai irányítószám: </w:t>
            </w:r>
            <w:r w:rsidRPr="00095B70">
              <w:rPr>
                <w:color w:val="0070C0"/>
                <w:sz w:val="20"/>
                <w:szCs w:val="20"/>
              </w:rPr>
              <w:t>6724</w:t>
            </w:r>
          </w:p>
        </w:tc>
        <w:tc>
          <w:tcPr>
            <w:tcW w:w="2436" w:type="dxa"/>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Ország: </w:t>
            </w:r>
            <w:r w:rsidRPr="00095B70">
              <w:rPr>
                <w:color w:val="0070C0"/>
                <w:sz w:val="20"/>
                <w:szCs w:val="20"/>
              </w:rPr>
              <w:t>Magyar</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single" w:sz="4" w:space="0" w:color="auto"/>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I.2) Kommunikáció</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Az érdeklődés jelzésére szolgáló elérhetőség:</w:t>
            </w:r>
          </w:p>
          <w:p w:rsidR="00095B70" w:rsidRDefault="00095B70" w:rsidP="007B1BF4">
            <w:pPr>
              <w:ind w:left="56" w:right="56"/>
              <w:rPr>
                <w:color w:val="0070C0"/>
                <w:sz w:val="20"/>
                <w:szCs w:val="20"/>
              </w:rPr>
            </w:pPr>
            <w:r w:rsidRPr="00095B70">
              <w:rPr>
                <w:color w:val="0070C0"/>
                <w:sz w:val="20"/>
                <w:szCs w:val="20"/>
              </w:rPr>
              <w:t xml:space="preserve">DÉMÁSZ </w:t>
            </w:r>
            <w:proofErr w:type="spellStart"/>
            <w:r w:rsidRPr="00095B70">
              <w:rPr>
                <w:color w:val="0070C0"/>
                <w:sz w:val="20"/>
                <w:szCs w:val="20"/>
              </w:rPr>
              <w:t>Zrt</w:t>
            </w:r>
            <w:proofErr w:type="spellEnd"/>
            <w:r w:rsidRPr="00095B70">
              <w:rPr>
                <w:color w:val="0070C0"/>
                <w:sz w:val="20"/>
                <w:szCs w:val="20"/>
              </w:rPr>
              <w:t>.</w:t>
            </w:r>
          </w:p>
          <w:p w:rsidR="00095B70" w:rsidRDefault="00095B70" w:rsidP="00095B70">
            <w:pPr>
              <w:ind w:left="56" w:right="56"/>
              <w:rPr>
                <w:color w:val="0070C0"/>
                <w:sz w:val="20"/>
                <w:szCs w:val="20"/>
              </w:rPr>
            </w:pPr>
            <w:r>
              <w:rPr>
                <w:color w:val="0070C0"/>
                <w:sz w:val="20"/>
                <w:szCs w:val="20"/>
              </w:rPr>
              <w:t>6720 Szeged, Klauzál tér. 9. 212-es szoba</w:t>
            </w:r>
          </w:p>
          <w:p w:rsidR="00095B70" w:rsidRDefault="00095B70" w:rsidP="00095B70">
            <w:pPr>
              <w:ind w:left="56" w:right="56"/>
              <w:rPr>
                <w:color w:val="0070C0"/>
                <w:sz w:val="20"/>
                <w:szCs w:val="20"/>
              </w:rPr>
            </w:pPr>
            <w:proofErr w:type="spellStart"/>
            <w:r>
              <w:rPr>
                <w:color w:val="0070C0"/>
                <w:sz w:val="20"/>
                <w:szCs w:val="20"/>
              </w:rPr>
              <w:t>Mikle-Baráth</w:t>
            </w:r>
            <w:proofErr w:type="spellEnd"/>
            <w:r>
              <w:rPr>
                <w:color w:val="0070C0"/>
                <w:sz w:val="20"/>
                <w:szCs w:val="20"/>
              </w:rPr>
              <w:t xml:space="preserve"> Miklós, beszerzési csoportvezető</w:t>
            </w:r>
          </w:p>
          <w:p w:rsidR="007B1BF4" w:rsidRDefault="007B1BF4" w:rsidP="00095B70">
            <w:pPr>
              <w:ind w:left="56" w:right="56"/>
              <w:rPr>
                <w:color w:val="0070C0"/>
                <w:sz w:val="20"/>
                <w:szCs w:val="20"/>
              </w:rPr>
            </w:pPr>
            <w:r>
              <w:rPr>
                <w:color w:val="0070C0"/>
                <w:sz w:val="20"/>
                <w:szCs w:val="20"/>
              </w:rPr>
              <w:t>miklos.mikle-barath@demasz.hu</w:t>
            </w:r>
          </w:p>
          <w:p w:rsidR="00095B70" w:rsidRPr="00095B70" w:rsidRDefault="00095B70" w:rsidP="00095B70">
            <w:pPr>
              <w:ind w:left="56" w:right="56"/>
              <w:rPr>
                <w:color w:val="0070C0"/>
                <w:sz w:val="20"/>
                <w:szCs w:val="20"/>
              </w:rPr>
            </w:pPr>
            <w:r>
              <w:rPr>
                <w:color w:val="0070C0"/>
                <w:sz w:val="20"/>
                <w:szCs w:val="20"/>
              </w:rPr>
              <w:t>Telefon: +36 62565565/1248</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II. szakasz: Tárgy</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spacing w:after="120"/>
              <w:ind w:left="56" w:right="56"/>
              <w:rPr>
                <w:b/>
                <w:bCs/>
                <w:sz w:val="20"/>
                <w:szCs w:val="20"/>
              </w:rPr>
            </w:pPr>
            <w:r>
              <w:rPr>
                <w:sz w:val="20"/>
                <w:szCs w:val="20"/>
              </w:rPr>
              <w:t xml:space="preserve"> </w:t>
            </w:r>
            <w:r>
              <w:rPr>
                <w:b/>
                <w:bCs/>
                <w:sz w:val="20"/>
                <w:szCs w:val="20"/>
              </w:rPr>
              <w:t>II.1) Meghatározás</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095B70">
            <w:pPr>
              <w:ind w:left="56" w:right="56"/>
              <w:rPr>
                <w:sz w:val="20"/>
                <w:szCs w:val="20"/>
              </w:rPr>
            </w:pPr>
            <w:r>
              <w:rPr>
                <w:sz w:val="20"/>
                <w:szCs w:val="20"/>
              </w:rPr>
              <w:t xml:space="preserve"> </w:t>
            </w:r>
            <w:r>
              <w:rPr>
                <w:b/>
                <w:bCs/>
                <w:sz w:val="20"/>
                <w:szCs w:val="20"/>
              </w:rPr>
              <w:t xml:space="preserve">II.1.1) </w:t>
            </w:r>
            <w:proofErr w:type="gramStart"/>
            <w:r>
              <w:rPr>
                <w:b/>
                <w:bCs/>
                <w:sz w:val="20"/>
                <w:szCs w:val="20"/>
              </w:rPr>
              <w:t>A</w:t>
            </w:r>
            <w:proofErr w:type="gramEnd"/>
            <w:r>
              <w:rPr>
                <w:b/>
                <w:bCs/>
                <w:sz w:val="20"/>
                <w:szCs w:val="20"/>
              </w:rPr>
              <w:t xml:space="preserve"> szerződés típusa </w:t>
            </w:r>
            <w:r>
              <w:rPr>
                <w:sz w:val="20"/>
                <w:szCs w:val="20"/>
              </w:rPr>
              <w:t xml:space="preserve">o Építési beruházás </w:t>
            </w:r>
            <w:r w:rsidRPr="00095B70">
              <w:rPr>
                <w:b/>
                <w:color w:val="0070C0"/>
                <w:sz w:val="20"/>
                <w:szCs w:val="20"/>
                <w:u w:val="single"/>
              </w:rPr>
              <w:t>x Árubeszerzés</w:t>
            </w:r>
            <w:r w:rsidRPr="00095B70">
              <w:rPr>
                <w:color w:val="0070C0"/>
                <w:sz w:val="20"/>
                <w:szCs w:val="20"/>
              </w:rPr>
              <w:t xml:space="preserve"> </w:t>
            </w:r>
            <w:r>
              <w:rPr>
                <w:sz w:val="20"/>
                <w:szCs w:val="20"/>
              </w:rPr>
              <w:t xml:space="preserve">o </w:t>
            </w:r>
            <w:proofErr w:type="spellStart"/>
            <w:r>
              <w:rPr>
                <w:sz w:val="20"/>
                <w:szCs w:val="20"/>
              </w:rPr>
              <w:t>Szolgáltatásmegrendelés</w:t>
            </w:r>
            <w:proofErr w:type="spellEnd"/>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Pr="00095B70" w:rsidRDefault="00095B70" w:rsidP="00095B70">
            <w:pPr>
              <w:rPr>
                <w:bCs/>
                <w:sz w:val="20"/>
                <w:szCs w:val="20"/>
              </w:rPr>
            </w:pPr>
            <w:r>
              <w:rPr>
                <w:sz w:val="20"/>
                <w:szCs w:val="20"/>
              </w:rPr>
              <w:t xml:space="preserve"> </w:t>
            </w:r>
            <w:r>
              <w:rPr>
                <w:b/>
                <w:bCs/>
                <w:sz w:val="20"/>
                <w:szCs w:val="20"/>
              </w:rPr>
              <w:t xml:space="preserve">II.1.2) </w:t>
            </w:r>
            <w:proofErr w:type="gramStart"/>
            <w:r>
              <w:rPr>
                <w:b/>
                <w:bCs/>
                <w:sz w:val="20"/>
                <w:szCs w:val="20"/>
              </w:rPr>
              <w:t>A</w:t>
            </w:r>
            <w:proofErr w:type="gramEnd"/>
            <w:r>
              <w:rPr>
                <w:b/>
                <w:bCs/>
                <w:sz w:val="20"/>
                <w:szCs w:val="20"/>
              </w:rPr>
              <w:t xml:space="preserve"> szerződés tárgya: </w:t>
            </w:r>
            <w:r w:rsidRPr="00095B70">
              <w:rPr>
                <w:color w:val="0070C0"/>
                <w:sz w:val="20"/>
                <w:szCs w:val="20"/>
              </w:rPr>
              <w:t>1db 35/22kV-os 16MVA-es transzformátor beszerzése</w:t>
            </w:r>
            <w:r>
              <w:rPr>
                <w:color w:val="0070C0"/>
                <w:sz w:val="20"/>
                <w:szCs w:val="20"/>
              </w:rPr>
              <w:t xml:space="preserve"> </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w:t>
            </w:r>
            <w:r>
              <w:rPr>
                <w:b/>
                <w:bCs/>
                <w:sz w:val="20"/>
                <w:szCs w:val="20"/>
              </w:rPr>
              <w:t xml:space="preserve">II.1.3) </w:t>
            </w:r>
            <w:proofErr w:type="gramStart"/>
            <w:r>
              <w:rPr>
                <w:b/>
                <w:bCs/>
                <w:sz w:val="20"/>
                <w:szCs w:val="20"/>
              </w:rPr>
              <w:t>A</w:t>
            </w:r>
            <w:proofErr w:type="gramEnd"/>
            <w:r>
              <w:rPr>
                <w:b/>
                <w:bCs/>
                <w:sz w:val="20"/>
                <w:szCs w:val="20"/>
              </w:rPr>
              <w:t xml:space="preserve"> közbeszerzés mennyisége: </w:t>
            </w:r>
            <w:r w:rsidRPr="00095B70">
              <w:rPr>
                <w:color w:val="0070C0"/>
                <w:sz w:val="20"/>
                <w:szCs w:val="20"/>
              </w:rPr>
              <w:t>1db 35/22kV-os 16MVA-es transzformátor beszerzése</w:t>
            </w:r>
            <w:r>
              <w:rPr>
                <w:b/>
                <w:bCs/>
                <w:sz w:val="20"/>
                <w:szCs w:val="20"/>
              </w:rPr>
              <w:br/>
            </w:r>
            <w:r>
              <w:rPr>
                <w:sz w:val="20"/>
                <w:szCs w:val="20"/>
              </w:rPr>
              <w:t>(az építési beruházás, árubeszerzés vagy szolgáltatás jellegének megfelelően)</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095B70">
            <w:pPr>
              <w:ind w:left="56" w:right="56"/>
              <w:rPr>
                <w:i/>
                <w:iCs/>
                <w:sz w:val="20"/>
                <w:szCs w:val="20"/>
              </w:rPr>
            </w:pPr>
            <w:r>
              <w:rPr>
                <w:sz w:val="20"/>
                <w:szCs w:val="20"/>
              </w:rPr>
              <w:t xml:space="preserve"> </w:t>
            </w:r>
            <w:r>
              <w:rPr>
                <w:b/>
                <w:bCs/>
                <w:sz w:val="20"/>
                <w:szCs w:val="20"/>
              </w:rPr>
              <w:t xml:space="preserve">II.1.4) </w:t>
            </w:r>
            <w:proofErr w:type="gramStart"/>
            <w:r>
              <w:rPr>
                <w:b/>
                <w:bCs/>
                <w:sz w:val="20"/>
                <w:szCs w:val="20"/>
              </w:rPr>
              <w:t>A</w:t>
            </w:r>
            <w:proofErr w:type="gramEnd"/>
            <w:r>
              <w:rPr>
                <w:b/>
                <w:bCs/>
                <w:sz w:val="20"/>
                <w:szCs w:val="20"/>
              </w:rPr>
              <w:t xml:space="preserve"> szerződés időtartama, vagy a teljesítés határideje</w:t>
            </w:r>
            <w:r>
              <w:rPr>
                <w:b/>
                <w:bCs/>
                <w:sz w:val="20"/>
                <w:szCs w:val="20"/>
              </w:rPr>
              <w:br/>
            </w:r>
            <w:r>
              <w:rPr>
                <w:sz w:val="20"/>
                <w:szCs w:val="20"/>
              </w:rPr>
              <w:t>Időtartam hónapban: [ ] vagy napban: [ ]</w:t>
            </w:r>
            <w:r>
              <w:rPr>
                <w:sz w:val="20"/>
                <w:szCs w:val="20"/>
              </w:rPr>
              <w:br/>
              <w:t xml:space="preserve">vagy a teljesítés határideje: </w:t>
            </w:r>
            <w:r w:rsidRPr="00095B70">
              <w:rPr>
                <w:iCs/>
                <w:color w:val="0070C0"/>
                <w:sz w:val="20"/>
                <w:szCs w:val="20"/>
              </w:rPr>
              <w:t>2018/03/31</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b/>
                <w:bCs/>
                <w:sz w:val="20"/>
                <w:szCs w:val="20"/>
              </w:rPr>
            </w:pPr>
            <w:r>
              <w:rPr>
                <w:sz w:val="20"/>
                <w:szCs w:val="20"/>
              </w:rPr>
              <w:t xml:space="preserve"> </w:t>
            </w:r>
            <w:r>
              <w:rPr>
                <w:b/>
                <w:bCs/>
                <w:sz w:val="20"/>
                <w:szCs w:val="20"/>
              </w:rPr>
              <w:t xml:space="preserve">II.1.5) </w:t>
            </w:r>
            <w:proofErr w:type="gramStart"/>
            <w:r>
              <w:rPr>
                <w:b/>
                <w:bCs/>
                <w:sz w:val="20"/>
                <w:szCs w:val="20"/>
              </w:rPr>
              <w:t>A</w:t>
            </w:r>
            <w:proofErr w:type="gramEnd"/>
            <w:r>
              <w:rPr>
                <w:b/>
                <w:bCs/>
                <w:sz w:val="20"/>
                <w:szCs w:val="20"/>
              </w:rPr>
              <w:t xml:space="preserve"> teljesítés helye: </w:t>
            </w:r>
            <w:r w:rsidRPr="00095B70">
              <w:rPr>
                <w:iCs/>
                <w:color w:val="0070C0"/>
                <w:sz w:val="20"/>
                <w:szCs w:val="20"/>
              </w:rPr>
              <w:t>Bácsalmás 35/22kV</w:t>
            </w:r>
            <w:r w:rsidR="007B1BF4">
              <w:rPr>
                <w:iCs/>
                <w:color w:val="0070C0"/>
                <w:sz w:val="20"/>
                <w:szCs w:val="20"/>
              </w:rPr>
              <w:t>-</w:t>
            </w:r>
            <w:r w:rsidRPr="00095B70">
              <w:rPr>
                <w:iCs/>
                <w:color w:val="0070C0"/>
                <w:sz w:val="20"/>
                <w:szCs w:val="20"/>
              </w:rPr>
              <w:t xml:space="preserve">os </w:t>
            </w:r>
            <w:proofErr w:type="spellStart"/>
            <w:r w:rsidRPr="00095B70">
              <w:rPr>
                <w:iCs/>
                <w:color w:val="0070C0"/>
                <w:sz w:val="20"/>
                <w:szCs w:val="20"/>
              </w:rPr>
              <w:t>alállomás</w:t>
            </w:r>
            <w:proofErr w:type="spellEnd"/>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III. szakasz: Értékelési szempontok</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D34343" w:rsidRPr="00D34343" w:rsidRDefault="00095B70" w:rsidP="00D34343">
            <w:pPr>
              <w:ind w:left="56" w:right="56"/>
              <w:rPr>
                <w:b/>
                <w:bCs/>
                <w:color w:val="0070C0"/>
                <w:sz w:val="20"/>
                <w:szCs w:val="20"/>
              </w:rPr>
            </w:pPr>
            <w:r>
              <w:rPr>
                <w:sz w:val="20"/>
                <w:szCs w:val="20"/>
              </w:rPr>
              <w:t xml:space="preserve"> </w:t>
            </w:r>
            <w:r>
              <w:rPr>
                <w:b/>
                <w:bCs/>
                <w:sz w:val="20"/>
                <w:szCs w:val="20"/>
              </w:rPr>
              <w:t>III.1) Értékelési szempontok:</w:t>
            </w:r>
            <w:r>
              <w:rPr>
                <w:b/>
                <w:bCs/>
                <w:sz w:val="20"/>
                <w:szCs w:val="20"/>
              </w:rPr>
              <w:br/>
              <w:t>o Az alábbi értékelési szempontok</w:t>
            </w:r>
            <w:r>
              <w:rPr>
                <w:b/>
                <w:bCs/>
                <w:sz w:val="20"/>
                <w:szCs w:val="20"/>
              </w:rPr>
              <w:br/>
              <w:t>o Minőségi szempont - Megnevezés: / Súlyszám:</w:t>
            </w:r>
            <w:r>
              <w:rPr>
                <w:b/>
                <w:bCs/>
                <w:sz w:val="20"/>
                <w:szCs w:val="20"/>
              </w:rPr>
              <w:br/>
            </w:r>
            <w:r w:rsidRPr="00095B70">
              <w:rPr>
                <w:b/>
                <w:bCs/>
                <w:color w:val="0070C0"/>
                <w:sz w:val="20"/>
                <w:szCs w:val="20"/>
              </w:rPr>
              <w:t>o Költség szempont - Megnevezés: / Súlyszám:</w:t>
            </w:r>
            <w:r w:rsidR="00D34343">
              <w:rPr>
                <w:b/>
                <w:bCs/>
                <w:color w:val="0070C0"/>
                <w:sz w:val="20"/>
                <w:szCs w:val="20"/>
              </w:rPr>
              <w:t xml:space="preserve"> </w:t>
            </w:r>
            <w:r w:rsidR="00D34343" w:rsidRPr="00D34343">
              <w:rPr>
                <w:b/>
                <w:bCs/>
                <w:color w:val="0070C0"/>
                <w:sz w:val="20"/>
                <w:szCs w:val="20"/>
              </w:rPr>
              <w:t>Teljes költségelemzés (TCO) / 1</w:t>
            </w:r>
          </w:p>
          <w:p w:rsidR="00095B70" w:rsidRDefault="00D34343" w:rsidP="007B1BF4">
            <w:pPr>
              <w:ind w:left="56" w:right="56"/>
              <w:rPr>
                <w:b/>
                <w:bCs/>
                <w:sz w:val="20"/>
                <w:szCs w:val="20"/>
              </w:rPr>
            </w:pPr>
            <w:r>
              <w:rPr>
                <w:b/>
                <w:bCs/>
                <w:sz w:val="20"/>
                <w:szCs w:val="20"/>
              </w:rPr>
              <w:t xml:space="preserve"> </w:t>
            </w:r>
            <w:r w:rsidR="00095B70">
              <w:rPr>
                <w:b/>
                <w:bCs/>
                <w:sz w:val="20"/>
                <w:szCs w:val="20"/>
              </w:rPr>
              <w:t>o Ár szempont - Megnevezés: / Súlyszám:</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IV. szakasz: Jogi információ</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spacing w:after="120"/>
              <w:ind w:left="56" w:right="56"/>
              <w:rPr>
                <w:b/>
                <w:bCs/>
                <w:sz w:val="20"/>
                <w:szCs w:val="20"/>
              </w:rPr>
            </w:pPr>
            <w:r>
              <w:rPr>
                <w:sz w:val="20"/>
                <w:szCs w:val="20"/>
              </w:rPr>
              <w:t xml:space="preserve"> </w:t>
            </w:r>
            <w:r>
              <w:rPr>
                <w:b/>
                <w:bCs/>
                <w:sz w:val="20"/>
                <w:szCs w:val="20"/>
              </w:rPr>
              <w:t>IV.1) Részvételi feltételek</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b/>
                <w:bCs/>
                <w:sz w:val="20"/>
                <w:szCs w:val="20"/>
              </w:rPr>
            </w:pPr>
            <w:r>
              <w:rPr>
                <w:sz w:val="20"/>
                <w:szCs w:val="20"/>
              </w:rPr>
              <w:t xml:space="preserve"> </w:t>
            </w:r>
            <w:r>
              <w:rPr>
                <w:b/>
                <w:bCs/>
                <w:sz w:val="20"/>
                <w:szCs w:val="20"/>
              </w:rPr>
              <w:t xml:space="preserve">IV.1.1) Alkalmassági </w:t>
            </w:r>
            <w:proofErr w:type="gramStart"/>
            <w:r>
              <w:rPr>
                <w:b/>
                <w:bCs/>
                <w:sz w:val="20"/>
                <w:szCs w:val="20"/>
              </w:rPr>
              <w:t>minimumkövetelmény(</w:t>
            </w:r>
            <w:proofErr w:type="spellStart"/>
            <w:proofErr w:type="gramEnd"/>
            <w:r>
              <w:rPr>
                <w:b/>
                <w:bCs/>
                <w:sz w:val="20"/>
                <w:szCs w:val="20"/>
              </w:rPr>
              <w:t>ek</w:t>
            </w:r>
            <w:proofErr w:type="spellEnd"/>
            <w:r>
              <w:rPr>
                <w:b/>
                <w:bCs/>
                <w:sz w:val="20"/>
                <w:szCs w:val="20"/>
              </w:rPr>
              <w:t>):</w:t>
            </w:r>
          </w:p>
          <w:p w:rsidR="00D34343" w:rsidRPr="00D34343" w:rsidRDefault="00D34343" w:rsidP="00D34343">
            <w:pPr>
              <w:ind w:left="56" w:right="56"/>
              <w:rPr>
                <w:iCs/>
                <w:color w:val="0070C0"/>
                <w:sz w:val="20"/>
                <w:szCs w:val="20"/>
              </w:rPr>
            </w:pPr>
            <w:r w:rsidRPr="00D34343">
              <w:rPr>
                <w:iCs/>
                <w:color w:val="0070C0"/>
                <w:sz w:val="20"/>
                <w:szCs w:val="20"/>
              </w:rPr>
              <w:t>A kizáró okok felsorolása: Az eljárásban nem lehet részvételre jelentkező, alvállalkozó vagy az alkalmasság igazolásában részt vevőmás szervezet (gazdasági szereplő), akire vonatkozóan a Kbt. 62. § (1)(2) bekezdésekben és az 63. § (1) bekezdésében felsorolt kizáró okok fennállnak.</w:t>
            </w:r>
          </w:p>
          <w:p w:rsidR="00D34343" w:rsidRPr="00D34343" w:rsidRDefault="00D34343" w:rsidP="00D34343">
            <w:pPr>
              <w:ind w:left="56" w:right="56"/>
              <w:rPr>
                <w:iCs/>
                <w:color w:val="0070C0"/>
                <w:sz w:val="20"/>
                <w:szCs w:val="20"/>
              </w:rPr>
            </w:pPr>
            <w:r w:rsidRPr="00D34343">
              <w:rPr>
                <w:iCs/>
                <w:color w:val="0070C0"/>
                <w:sz w:val="20"/>
                <w:szCs w:val="20"/>
              </w:rPr>
              <w:t>Az igazolási módok felsorolása és rövid leírása: Az eljárásban nem lehet részvételre jelentkező, alvállalkozó vagy az alkalmasság igazolásában részt vevő más szervezet (gazdasági szereplő), akire vonatkozóan a Kbt. 62. § (1)(2) bekezdésekben és az 63. § (1) bekezdésében felsorolt kizáró okok fennállnak.</w:t>
            </w:r>
          </w:p>
          <w:p w:rsidR="00D34343" w:rsidRPr="00D34343" w:rsidRDefault="00D34343" w:rsidP="00D34343">
            <w:pPr>
              <w:ind w:left="56" w:right="56"/>
              <w:rPr>
                <w:iCs/>
                <w:color w:val="0070C0"/>
                <w:sz w:val="20"/>
                <w:szCs w:val="20"/>
              </w:rPr>
            </w:pPr>
            <w:r w:rsidRPr="00D34343">
              <w:rPr>
                <w:iCs/>
                <w:color w:val="0070C0"/>
                <w:sz w:val="20"/>
                <w:szCs w:val="20"/>
              </w:rPr>
              <w:t>Igazolás módja:</w:t>
            </w:r>
          </w:p>
          <w:p w:rsidR="00D34343" w:rsidRPr="00D34343" w:rsidRDefault="00D34343" w:rsidP="00D34343">
            <w:pPr>
              <w:ind w:left="56" w:right="56"/>
              <w:rPr>
                <w:iCs/>
                <w:color w:val="0070C0"/>
                <w:sz w:val="20"/>
                <w:szCs w:val="20"/>
              </w:rPr>
            </w:pPr>
            <w:r w:rsidRPr="00D34343">
              <w:rPr>
                <w:iCs/>
                <w:color w:val="0070C0"/>
                <w:sz w:val="20"/>
                <w:szCs w:val="20"/>
              </w:rPr>
              <w:t xml:space="preserve">Az Ajánlatkérő a kizáró okokat Kbt. 69. § (2) </w:t>
            </w:r>
            <w:proofErr w:type="spellStart"/>
            <w:r w:rsidRPr="00D34343">
              <w:rPr>
                <w:iCs/>
                <w:color w:val="0070C0"/>
                <w:sz w:val="20"/>
                <w:szCs w:val="20"/>
              </w:rPr>
              <w:t>bek</w:t>
            </w:r>
            <w:proofErr w:type="spellEnd"/>
            <w:r w:rsidRPr="00D34343">
              <w:rPr>
                <w:iCs/>
                <w:color w:val="0070C0"/>
                <w:sz w:val="20"/>
                <w:szCs w:val="20"/>
              </w:rPr>
              <w:t xml:space="preserve">. tekintettel kéri, hogy a Részvételre Jelentkező, továbbá adott esetben a kapacitásait rendelkezésre bocsájtó szervezet a részvételre jelentkezés részeként nyújtsa be a kizáró okok fenn nem állására vonatkozó egyszerű nyilatkozatát. (321/2015 (X.30) Korm. rendelet 17. §). Az alvállalkozó tekintetében a részvételre jelentkező egyszerű nyilatkozatának benyújtása szükséges arról, hogy nem tartozik az </w:t>
            </w:r>
            <w:proofErr w:type="gramStart"/>
            <w:r w:rsidRPr="00D34343">
              <w:rPr>
                <w:iCs/>
                <w:color w:val="0070C0"/>
                <w:sz w:val="20"/>
                <w:szCs w:val="20"/>
              </w:rPr>
              <w:t>eljárásban  érvényesített</w:t>
            </w:r>
            <w:proofErr w:type="gramEnd"/>
            <w:r w:rsidRPr="00D34343">
              <w:rPr>
                <w:iCs/>
                <w:color w:val="0070C0"/>
                <w:sz w:val="20"/>
                <w:szCs w:val="20"/>
              </w:rPr>
              <w:t xml:space="preserve"> kizáró okok hatálya alá.</w:t>
            </w:r>
          </w:p>
          <w:p w:rsidR="00D34343" w:rsidRPr="00D34343" w:rsidRDefault="00D34343" w:rsidP="00D34343">
            <w:pPr>
              <w:ind w:left="56" w:right="56"/>
              <w:rPr>
                <w:iCs/>
                <w:color w:val="0070C0"/>
                <w:sz w:val="20"/>
                <w:szCs w:val="20"/>
              </w:rPr>
            </w:pPr>
            <w:r w:rsidRPr="00D34343">
              <w:rPr>
                <w:iCs/>
                <w:color w:val="0070C0"/>
                <w:sz w:val="20"/>
                <w:szCs w:val="20"/>
              </w:rPr>
              <w:lastRenderedPageBreak/>
              <w:t xml:space="preserve">A Kbt. 69. § (1) </w:t>
            </w:r>
            <w:proofErr w:type="spellStart"/>
            <w:r w:rsidRPr="00D34343">
              <w:rPr>
                <w:iCs/>
                <w:color w:val="0070C0"/>
                <w:sz w:val="20"/>
                <w:szCs w:val="20"/>
              </w:rPr>
              <w:t>bek</w:t>
            </w:r>
            <w:proofErr w:type="spellEnd"/>
            <w:r w:rsidRPr="00D34343">
              <w:rPr>
                <w:iCs/>
                <w:color w:val="0070C0"/>
                <w:sz w:val="20"/>
                <w:szCs w:val="20"/>
              </w:rPr>
              <w:t>. alapján vizsgálja az ajánlatkérő a benyújtott egyszerű nyilatkozatokat.</w:t>
            </w:r>
          </w:p>
          <w:p w:rsidR="00D34343" w:rsidRPr="00D34343" w:rsidRDefault="00D34343" w:rsidP="00D34343">
            <w:pPr>
              <w:ind w:left="56" w:right="56"/>
              <w:rPr>
                <w:iCs/>
                <w:color w:val="0070C0"/>
                <w:sz w:val="20"/>
                <w:szCs w:val="20"/>
              </w:rPr>
            </w:pPr>
            <w:r w:rsidRPr="00D34343">
              <w:rPr>
                <w:iCs/>
                <w:color w:val="0070C0"/>
                <w:sz w:val="20"/>
                <w:szCs w:val="20"/>
              </w:rPr>
              <w:t>A kizáró okok igazolására a Magyarországon letelepedett részvételre jelentkező esetében a Kbt. 62. §</w:t>
            </w:r>
            <w:proofErr w:type="spellStart"/>
            <w:r w:rsidRPr="00D34343">
              <w:rPr>
                <w:iCs/>
                <w:color w:val="0070C0"/>
                <w:sz w:val="20"/>
                <w:szCs w:val="20"/>
              </w:rPr>
              <w:t>-a</w:t>
            </w:r>
            <w:proofErr w:type="spellEnd"/>
            <w:r w:rsidRPr="00D34343">
              <w:rPr>
                <w:iCs/>
                <w:color w:val="0070C0"/>
                <w:sz w:val="20"/>
                <w:szCs w:val="20"/>
              </w:rPr>
              <w:t xml:space="preserve"> tekintetében a 321/2015 (X.30.) Korm. rendelet 17. §, a Kbt. 63. §</w:t>
            </w:r>
            <w:proofErr w:type="spellStart"/>
            <w:r w:rsidRPr="00D34343">
              <w:rPr>
                <w:iCs/>
                <w:color w:val="0070C0"/>
                <w:sz w:val="20"/>
                <w:szCs w:val="20"/>
              </w:rPr>
              <w:t>-a</w:t>
            </w:r>
            <w:proofErr w:type="spellEnd"/>
            <w:r w:rsidRPr="00D34343">
              <w:rPr>
                <w:iCs/>
                <w:color w:val="0070C0"/>
                <w:sz w:val="20"/>
                <w:szCs w:val="20"/>
              </w:rPr>
              <w:t xml:space="preserve"> tekintetében a 321/2015 (X.30.) </w:t>
            </w:r>
            <w:proofErr w:type="spellStart"/>
            <w:r w:rsidRPr="00D34343">
              <w:rPr>
                <w:iCs/>
                <w:color w:val="0070C0"/>
                <w:sz w:val="20"/>
                <w:szCs w:val="20"/>
              </w:rPr>
              <w:t>Korm.rendelet</w:t>
            </w:r>
            <w:proofErr w:type="spellEnd"/>
            <w:r w:rsidRPr="00D34343">
              <w:rPr>
                <w:iCs/>
                <w:color w:val="0070C0"/>
                <w:sz w:val="20"/>
                <w:szCs w:val="20"/>
              </w:rPr>
              <w:t xml:space="preserve"> 17. § irányadó.</w:t>
            </w:r>
          </w:p>
          <w:p w:rsidR="00D34343" w:rsidRPr="00D34343" w:rsidRDefault="00D34343" w:rsidP="00D34343">
            <w:pPr>
              <w:ind w:left="56" w:right="56"/>
              <w:rPr>
                <w:iCs/>
                <w:color w:val="0070C0"/>
                <w:sz w:val="20"/>
                <w:szCs w:val="20"/>
              </w:rPr>
            </w:pPr>
            <w:r w:rsidRPr="00D34343">
              <w:rPr>
                <w:iCs/>
                <w:color w:val="0070C0"/>
                <w:sz w:val="20"/>
                <w:szCs w:val="20"/>
              </w:rPr>
              <w:t>A kizáró okok igazolására a nem Magyarországon letelepedett részvételre jelentkező esetében a Kbt. 62. §</w:t>
            </w:r>
            <w:proofErr w:type="spellStart"/>
            <w:r w:rsidRPr="00D34343">
              <w:rPr>
                <w:iCs/>
                <w:color w:val="0070C0"/>
                <w:sz w:val="20"/>
                <w:szCs w:val="20"/>
              </w:rPr>
              <w:t>-a</w:t>
            </w:r>
            <w:proofErr w:type="spellEnd"/>
            <w:r w:rsidRPr="00D34343">
              <w:rPr>
                <w:iCs/>
                <w:color w:val="0070C0"/>
                <w:sz w:val="20"/>
                <w:szCs w:val="20"/>
              </w:rPr>
              <w:t xml:space="preserve"> tekintetében a 321/2015 (X.30.) Korm. rendelet 17. §, a Kbt. 63. §</w:t>
            </w:r>
            <w:proofErr w:type="spellStart"/>
            <w:r w:rsidRPr="00D34343">
              <w:rPr>
                <w:iCs/>
                <w:color w:val="0070C0"/>
                <w:sz w:val="20"/>
                <w:szCs w:val="20"/>
              </w:rPr>
              <w:t>-a</w:t>
            </w:r>
            <w:proofErr w:type="spellEnd"/>
            <w:r w:rsidRPr="00D34343">
              <w:rPr>
                <w:iCs/>
                <w:color w:val="0070C0"/>
                <w:sz w:val="20"/>
                <w:szCs w:val="20"/>
              </w:rPr>
              <w:t xml:space="preserve"> tekintetében a 321/2015 (X.30.) </w:t>
            </w:r>
            <w:proofErr w:type="spellStart"/>
            <w:r w:rsidRPr="00D34343">
              <w:rPr>
                <w:iCs/>
                <w:color w:val="0070C0"/>
                <w:sz w:val="20"/>
                <w:szCs w:val="20"/>
              </w:rPr>
              <w:t>Korm.rendelet</w:t>
            </w:r>
            <w:proofErr w:type="spellEnd"/>
            <w:r w:rsidRPr="00D34343">
              <w:rPr>
                <w:iCs/>
                <w:color w:val="0070C0"/>
                <w:sz w:val="20"/>
                <w:szCs w:val="20"/>
              </w:rPr>
              <w:t xml:space="preserve"> 17. § irányadó.</w:t>
            </w:r>
          </w:p>
          <w:p w:rsidR="00D34343" w:rsidRPr="00D34343" w:rsidRDefault="00D34343" w:rsidP="00D34343">
            <w:pPr>
              <w:ind w:left="56" w:right="56"/>
              <w:rPr>
                <w:iCs/>
                <w:color w:val="0070C0"/>
                <w:sz w:val="20"/>
                <w:szCs w:val="20"/>
              </w:rPr>
            </w:pPr>
            <w:r w:rsidRPr="00D34343">
              <w:rPr>
                <w:iCs/>
                <w:color w:val="0070C0"/>
                <w:sz w:val="20"/>
                <w:szCs w:val="20"/>
              </w:rPr>
              <w:t>Az alkalmasság igazolásában részt vevő alvállalkozó vagy más szervezet vonatkozásában egyszerű nyilatkozat benyújtása szükséges a Kbt. 62. §</w:t>
            </w:r>
            <w:proofErr w:type="spellStart"/>
            <w:r w:rsidRPr="00D34343">
              <w:rPr>
                <w:iCs/>
                <w:color w:val="0070C0"/>
                <w:sz w:val="20"/>
                <w:szCs w:val="20"/>
              </w:rPr>
              <w:t>-ában</w:t>
            </w:r>
            <w:proofErr w:type="spellEnd"/>
          </w:p>
          <w:p w:rsidR="00D34343" w:rsidRPr="00D34343" w:rsidRDefault="00D34343" w:rsidP="00D34343">
            <w:pPr>
              <w:ind w:left="56" w:right="56"/>
              <w:rPr>
                <w:iCs/>
                <w:color w:val="0070C0"/>
                <w:sz w:val="20"/>
                <w:szCs w:val="20"/>
              </w:rPr>
            </w:pPr>
            <w:r w:rsidRPr="00D34343">
              <w:rPr>
                <w:iCs/>
                <w:color w:val="0070C0"/>
                <w:sz w:val="20"/>
                <w:szCs w:val="20"/>
              </w:rPr>
              <w:t>és a 63. §</w:t>
            </w:r>
            <w:proofErr w:type="spellStart"/>
            <w:r w:rsidRPr="00D34343">
              <w:rPr>
                <w:iCs/>
                <w:color w:val="0070C0"/>
                <w:sz w:val="20"/>
                <w:szCs w:val="20"/>
              </w:rPr>
              <w:t>-ában</w:t>
            </w:r>
            <w:proofErr w:type="spellEnd"/>
            <w:r w:rsidRPr="00D34343">
              <w:rPr>
                <w:iCs/>
                <w:color w:val="0070C0"/>
                <w:sz w:val="20"/>
                <w:szCs w:val="20"/>
              </w:rPr>
              <w:t xml:space="preserve"> foglalt kizáró okok hiányának igazolása érdekében.</w:t>
            </w:r>
          </w:p>
          <w:p w:rsidR="00D34343" w:rsidRDefault="00D34343" w:rsidP="00D34343">
            <w:pPr>
              <w:ind w:left="56" w:right="56"/>
              <w:rPr>
                <w:iCs/>
                <w:color w:val="0070C0"/>
                <w:sz w:val="20"/>
                <w:szCs w:val="20"/>
              </w:rPr>
            </w:pPr>
            <w:r w:rsidRPr="00D34343">
              <w:rPr>
                <w:iCs/>
                <w:color w:val="0070C0"/>
                <w:sz w:val="20"/>
                <w:szCs w:val="20"/>
              </w:rPr>
              <w:t>Azon alvállalkozók tekintetében, amelyek nem vesznek részt alkalmasság igazolásában a részvételre jelentkező Kbt. 67. § (4) bekezdése szerinti nyilatkozatát kell benyújtani.</w:t>
            </w:r>
          </w:p>
          <w:p w:rsidR="00D34343" w:rsidRDefault="00D34343" w:rsidP="00D34343">
            <w:pPr>
              <w:ind w:left="56" w:right="56"/>
              <w:rPr>
                <w:rFonts w:ascii="Verdana" w:eastAsiaTheme="minorHAnsi" w:hAnsi="Verdana" w:cs="Verdana"/>
                <w:sz w:val="12"/>
                <w:szCs w:val="12"/>
                <w:lang w:eastAsia="en-US"/>
              </w:rPr>
            </w:pPr>
          </w:p>
          <w:p w:rsidR="007B1BF4" w:rsidRPr="007B1BF4" w:rsidRDefault="007B1BF4" w:rsidP="007B1BF4">
            <w:pPr>
              <w:ind w:left="56" w:right="56"/>
              <w:rPr>
                <w:iCs/>
                <w:color w:val="0070C0"/>
                <w:sz w:val="20"/>
                <w:szCs w:val="20"/>
              </w:rPr>
            </w:pPr>
            <w:r w:rsidRPr="007B1BF4">
              <w:rPr>
                <w:iCs/>
                <w:color w:val="0070C0"/>
                <w:sz w:val="20"/>
                <w:szCs w:val="20"/>
              </w:rPr>
              <w:t>Gazdasági és pénzügyi alkalmasság</w:t>
            </w:r>
            <w:r>
              <w:rPr>
                <w:iCs/>
                <w:color w:val="0070C0"/>
                <w:sz w:val="20"/>
                <w:szCs w:val="20"/>
              </w:rPr>
              <w:t>:</w:t>
            </w:r>
          </w:p>
          <w:p w:rsidR="007B1BF4" w:rsidRPr="007B1BF4" w:rsidRDefault="007B1BF4" w:rsidP="007B1BF4">
            <w:pPr>
              <w:ind w:left="56" w:right="56"/>
              <w:rPr>
                <w:iCs/>
                <w:color w:val="0070C0"/>
                <w:sz w:val="20"/>
                <w:szCs w:val="20"/>
              </w:rPr>
            </w:pPr>
            <w:r w:rsidRPr="007B1BF4">
              <w:rPr>
                <w:iCs/>
                <w:color w:val="0070C0"/>
                <w:sz w:val="20"/>
                <w:szCs w:val="20"/>
              </w:rPr>
              <w:t xml:space="preserve">Alkalmassági </w:t>
            </w:r>
            <w:proofErr w:type="gramStart"/>
            <w:r w:rsidRPr="007B1BF4">
              <w:rPr>
                <w:iCs/>
                <w:color w:val="0070C0"/>
                <w:sz w:val="20"/>
                <w:szCs w:val="20"/>
              </w:rPr>
              <w:t>minimumkövetelmény(</w:t>
            </w:r>
            <w:proofErr w:type="spellStart"/>
            <w:proofErr w:type="gramEnd"/>
            <w:r w:rsidRPr="007B1BF4">
              <w:rPr>
                <w:iCs/>
                <w:color w:val="0070C0"/>
                <w:sz w:val="20"/>
                <w:szCs w:val="20"/>
              </w:rPr>
              <w:t>ek</w:t>
            </w:r>
            <w:proofErr w:type="spellEnd"/>
            <w:r w:rsidRPr="007B1BF4">
              <w:rPr>
                <w:iCs/>
                <w:color w:val="0070C0"/>
                <w:sz w:val="20"/>
                <w:szCs w:val="20"/>
              </w:rPr>
              <w:t xml:space="preserve">) meghatározása: </w:t>
            </w:r>
          </w:p>
          <w:p w:rsidR="007B1BF4" w:rsidRPr="007B1BF4" w:rsidRDefault="007B1BF4" w:rsidP="007B1BF4">
            <w:pPr>
              <w:ind w:left="56" w:right="56"/>
              <w:rPr>
                <w:iCs/>
                <w:color w:val="0070C0"/>
                <w:sz w:val="20"/>
                <w:szCs w:val="20"/>
              </w:rPr>
            </w:pPr>
            <w:r w:rsidRPr="007B1BF4">
              <w:rPr>
                <w:iCs/>
                <w:color w:val="0070C0"/>
                <w:sz w:val="20"/>
                <w:szCs w:val="20"/>
              </w:rPr>
              <w:t xml:space="preserve">P1.) Alkalmatlan a részvételre jelentkező, amennyiben az egyszerű nyilatkozata, illetve a pénzügyi </w:t>
            </w:r>
            <w:proofErr w:type="gramStart"/>
            <w:r w:rsidRPr="007B1BF4">
              <w:rPr>
                <w:iCs/>
                <w:color w:val="0070C0"/>
                <w:sz w:val="20"/>
                <w:szCs w:val="20"/>
              </w:rPr>
              <w:t>intézmény(</w:t>
            </w:r>
            <w:proofErr w:type="spellStart"/>
            <w:proofErr w:type="gramEnd"/>
            <w:r w:rsidRPr="007B1BF4">
              <w:rPr>
                <w:iCs/>
                <w:color w:val="0070C0"/>
                <w:sz w:val="20"/>
                <w:szCs w:val="20"/>
              </w:rPr>
              <w:t>ek</w:t>
            </w:r>
            <w:proofErr w:type="spellEnd"/>
            <w:r w:rsidRPr="007B1BF4">
              <w:rPr>
                <w:iCs/>
                <w:color w:val="0070C0"/>
                <w:sz w:val="20"/>
                <w:szCs w:val="20"/>
              </w:rPr>
              <w:t>)</w:t>
            </w:r>
            <w:proofErr w:type="spellStart"/>
            <w:r w:rsidRPr="007B1BF4">
              <w:rPr>
                <w:iCs/>
                <w:color w:val="0070C0"/>
                <w:sz w:val="20"/>
                <w:szCs w:val="20"/>
              </w:rPr>
              <w:t>től</w:t>
            </w:r>
            <w:proofErr w:type="spellEnd"/>
            <w:r w:rsidRPr="007B1BF4">
              <w:rPr>
                <w:iCs/>
                <w:color w:val="0070C0"/>
                <w:sz w:val="20"/>
                <w:szCs w:val="20"/>
              </w:rPr>
              <w:t xml:space="preserve"> származó nyilatkozat alapján megállapítható, hogy számláján az összefoglaló tájékoztatás megjelenését megelőző 12 hónapban kétszer, vagy annál több alkalommal volt 15 napot meghaladó sorban állás.</w:t>
            </w:r>
          </w:p>
          <w:p w:rsidR="007B1BF4" w:rsidRPr="007B1BF4" w:rsidRDefault="007B1BF4" w:rsidP="007B1BF4">
            <w:pPr>
              <w:ind w:left="56" w:right="56"/>
              <w:rPr>
                <w:iCs/>
                <w:color w:val="0070C0"/>
                <w:sz w:val="20"/>
                <w:szCs w:val="20"/>
              </w:rPr>
            </w:pPr>
            <w:r w:rsidRPr="007B1BF4">
              <w:rPr>
                <w:iCs/>
                <w:color w:val="0070C0"/>
                <w:sz w:val="20"/>
                <w:szCs w:val="20"/>
              </w:rPr>
              <w:t xml:space="preserve">P2.) Alkalmatlan a részvételre jelentkező, ha az utolsó </w:t>
            </w:r>
            <w:proofErr w:type="spellStart"/>
            <w:r w:rsidRPr="007B1BF4">
              <w:rPr>
                <w:iCs/>
                <w:color w:val="0070C0"/>
                <w:sz w:val="20"/>
                <w:szCs w:val="20"/>
              </w:rPr>
              <w:t>mérlegfordulónappal</w:t>
            </w:r>
            <w:proofErr w:type="spellEnd"/>
            <w:r w:rsidRPr="007B1BF4">
              <w:rPr>
                <w:iCs/>
                <w:color w:val="0070C0"/>
                <w:sz w:val="20"/>
                <w:szCs w:val="20"/>
              </w:rPr>
              <w:t xml:space="preserve"> lezárt üzleti évről szóló beszámolója szerint az utolsó lezárt üzleti év végén az adózott eredménye negatív. Azon részvételre jelentkező, aki nem rendelkezik az utolsó lezárt üzleti évről szóló beszámolóval, mert az időszak kezdete után kezdte meg működését, a VHR 321 19. §</w:t>
            </w:r>
            <w:proofErr w:type="spellStart"/>
            <w:r w:rsidRPr="007B1BF4">
              <w:rPr>
                <w:iCs/>
                <w:color w:val="0070C0"/>
                <w:sz w:val="20"/>
                <w:szCs w:val="20"/>
              </w:rPr>
              <w:t>-ának</w:t>
            </w:r>
            <w:proofErr w:type="spellEnd"/>
            <w:r w:rsidRPr="007B1BF4">
              <w:rPr>
                <w:iCs/>
                <w:color w:val="0070C0"/>
                <w:sz w:val="20"/>
                <w:szCs w:val="20"/>
              </w:rPr>
              <w:t xml:space="preserve"> (2) bekezdésére tekintettel alkalmasságát a beszámoló kapcsán előírt alkalmassági feltétel helyett a közbeszerzés tárgya szerinti árbevételről szóló nyilatkozattal jogosult igazolni. Ebben az esetben alkalmatlan a részvételre jelentkező akkor, ha működésének ideje alatt a közbeszerzés tárgyából származó általános forgalmi adó nélkül számított árbevétele nem éri el a 19 000 000.Ft összeget.</w:t>
            </w:r>
          </w:p>
          <w:p w:rsidR="007B1BF4" w:rsidRPr="007B1BF4" w:rsidRDefault="007B1BF4" w:rsidP="007B1BF4">
            <w:pPr>
              <w:ind w:left="56" w:right="56"/>
              <w:rPr>
                <w:iCs/>
                <w:color w:val="0070C0"/>
                <w:sz w:val="20"/>
                <w:szCs w:val="20"/>
              </w:rPr>
            </w:pPr>
            <w:r w:rsidRPr="007B1BF4">
              <w:rPr>
                <w:iCs/>
                <w:color w:val="0070C0"/>
                <w:sz w:val="20"/>
                <w:szCs w:val="20"/>
              </w:rPr>
              <w:t xml:space="preserve">P3.) Alkalmatlan a részvételre jelentkező, ha az utolsó </w:t>
            </w:r>
            <w:proofErr w:type="spellStart"/>
            <w:r w:rsidRPr="007B1BF4">
              <w:rPr>
                <w:iCs/>
                <w:color w:val="0070C0"/>
                <w:sz w:val="20"/>
                <w:szCs w:val="20"/>
              </w:rPr>
              <w:t>mérlegfordulónappal</w:t>
            </w:r>
            <w:proofErr w:type="spellEnd"/>
            <w:r w:rsidRPr="007B1BF4">
              <w:rPr>
                <w:iCs/>
                <w:color w:val="0070C0"/>
                <w:sz w:val="20"/>
                <w:szCs w:val="20"/>
              </w:rPr>
              <w:t xml:space="preserve"> lezárt üzleti évben a teljes általános forgalmi adó nélkül számított árbevétele nem éri el (VHR 321 19. §(1) </w:t>
            </w:r>
            <w:proofErr w:type="spellStart"/>
            <w:r w:rsidRPr="007B1BF4">
              <w:rPr>
                <w:iCs/>
                <w:color w:val="0070C0"/>
                <w:sz w:val="20"/>
                <w:szCs w:val="20"/>
              </w:rPr>
              <w:t>bek</w:t>
            </w:r>
            <w:proofErr w:type="spellEnd"/>
            <w:r w:rsidRPr="007B1BF4">
              <w:rPr>
                <w:iCs/>
                <w:color w:val="0070C0"/>
                <w:sz w:val="20"/>
                <w:szCs w:val="20"/>
              </w:rPr>
              <w:t xml:space="preserve"> c) szerint) vagy ha az utolsó lezárt üzleti évi adóbevallása alapján az ÁFA nélküli számított teljes árbevétele nem éri el az (VHR 321 19. §</w:t>
            </w:r>
            <w:proofErr w:type="spellStart"/>
            <w:r w:rsidRPr="007B1BF4">
              <w:rPr>
                <w:iCs/>
                <w:color w:val="0070C0"/>
                <w:sz w:val="20"/>
                <w:szCs w:val="20"/>
              </w:rPr>
              <w:t>-ának</w:t>
            </w:r>
            <w:proofErr w:type="spellEnd"/>
            <w:r w:rsidRPr="007B1BF4">
              <w:rPr>
                <w:iCs/>
                <w:color w:val="0070C0"/>
                <w:sz w:val="20"/>
                <w:szCs w:val="20"/>
              </w:rPr>
              <w:t xml:space="preserve"> (3) </w:t>
            </w:r>
            <w:proofErr w:type="spellStart"/>
            <w:r w:rsidRPr="007B1BF4">
              <w:rPr>
                <w:iCs/>
                <w:color w:val="0070C0"/>
                <w:sz w:val="20"/>
                <w:szCs w:val="20"/>
              </w:rPr>
              <w:t>bek</w:t>
            </w:r>
            <w:proofErr w:type="spellEnd"/>
            <w:r w:rsidRPr="007B1BF4">
              <w:rPr>
                <w:iCs/>
                <w:color w:val="0070C0"/>
                <w:sz w:val="20"/>
                <w:szCs w:val="20"/>
              </w:rPr>
              <w:t xml:space="preserve"> szerint) 38 000 </w:t>
            </w:r>
            <w:proofErr w:type="spellStart"/>
            <w:r w:rsidRPr="007B1BF4">
              <w:rPr>
                <w:iCs/>
                <w:color w:val="0070C0"/>
                <w:sz w:val="20"/>
                <w:szCs w:val="20"/>
              </w:rPr>
              <w:t>000</w:t>
            </w:r>
            <w:proofErr w:type="spellEnd"/>
            <w:r w:rsidRPr="007B1BF4">
              <w:rPr>
                <w:iCs/>
                <w:color w:val="0070C0"/>
                <w:sz w:val="20"/>
                <w:szCs w:val="20"/>
              </w:rPr>
              <w:t xml:space="preserve"> Ft összeget.</w:t>
            </w:r>
          </w:p>
          <w:p w:rsidR="007B1BF4" w:rsidRPr="007B1BF4" w:rsidRDefault="007B1BF4" w:rsidP="007B1BF4">
            <w:pPr>
              <w:ind w:left="56" w:right="56"/>
              <w:rPr>
                <w:iCs/>
                <w:color w:val="0070C0"/>
                <w:sz w:val="20"/>
                <w:szCs w:val="20"/>
              </w:rPr>
            </w:pPr>
            <w:r w:rsidRPr="007B1BF4">
              <w:rPr>
                <w:iCs/>
                <w:color w:val="0070C0"/>
                <w:sz w:val="20"/>
                <w:szCs w:val="20"/>
              </w:rPr>
              <w:t xml:space="preserve">Az igazolási módok felsorolása és rövid leírása: </w:t>
            </w:r>
          </w:p>
          <w:p w:rsidR="007B1BF4" w:rsidRPr="007B1BF4" w:rsidRDefault="007B1BF4" w:rsidP="007B1BF4">
            <w:pPr>
              <w:ind w:left="56" w:right="56"/>
              <w:rPr>
                <w:iCs/>
                <w:color w:val="0070C0"/>
                <w:sz w:val="20"/>
                <w:szCs w:val="20"/>
              </w:rPr>
            </w:pPr>
            <w:r w:rsidRPr="007B1BF4">
              <w:rPr>
                <w:iCs/>
                <w:color w:val="0070C0"/>
                <w:sz w:val="20"/>
                <w:szCs w:val="20"/>
              </w:rPr>
              <w:t xml:space="preserve">P1.) Kbt. 65.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a) pontja, illetve a 321/2015. (X. 30.) Korm. rendelet (a továbbiakban: VHR 321) 19.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a) pontja alapján a részvételre jelentkező az egyszerű nyilatkozatban nyilatkozzon valamennyi az összefoglaló tájékoztatás megjelenését megelőző 12 hónapban vezetett számlájáról (pénzügyi intézmény és számlaszám megjelölésével), továbbá arról, hogy a számlákon volt-e felhívás feladását (lásd a jelen felhívás VI.5) pontját) megelőző 12 hónapban 15 napot meghaladó sorban állás. Kbt. 69. § (4) </w:t>
            </w:r>
            <w:proofErr w:type="spellStart"/>
            <w:r w:rsidRPr="007B1BF4">
              <w:rPr>
                <w:iCs/>
                <w:color w:val="0070C0"/>
                <w:sz w:val="20"/>
                <w:szCs w:val="20"/>
              </w:rPr>
              <w:t>bek</w:t>
            </w:r>
            <w:proofErr w:type="spellEnd"/>
            <w:r w:rsidRPr="007B1BF4">
              <w:rPr>
                <w:iCs/>
                <w:color w:val="0070C0"/>
                <w:sz w:val="20"/>
                <w:szCs w:val="20"/>
              </w:rPr>
              <w:t xml:space="preserve">. </w:t>
            </w:r>
            <w:proofErr w:type="gramStart"/>
            <w:r w:rsidRPr="007B1BF4">
              <w:rPr>
                <w:iCs/>
                <w:color w:val="0070C0"/>
                <w:sz w:val="20"/>
                <w:szCs w:val="20"/>
              </w:rPr>
              <w:t>alkalmazásában az igazolás módja: valamennyi számlavezető pénzügyi intézményétől származó nyilatkozat (eredeti vagy egyszerű másolati példányban) arra nézve, hogy mióta vezeti számláját, és a felhívás feladását (lásd a jelen felhívás VI.5) pontját) megelőző 12 hónapban 15 napot meghaladó sorban állás a számláján volt-e, és ha igen, hány alkalommal volt, attól függően, hogy a részvételre jelentkező mikor jött létre, illetve mikor kezdte meg tevékenységét, amennyiben ezek az adatok rendelkezésre állnak.</w:t>
            </w:r>
            <w:proofErr w:type="gramEnd"/>
          </w:p>
          <w:p w:rsidR="007B1BF4" w:rsidRPr="007B1BF4" w:rsidRDefault="007B1BF4" w:rsidP="007B1BF4">
            <w:pPr>
              <w:ind w:left="56" w:right="56"/>
              <w:rPr>
                <w:iCs/>
                <w:color w:val="0070C0"/>
                <w:sz w:val="20"/>
                <w:szCs w:val="20"/>
              </w:rPr>
            </w:pPr>
            <w:r w:rsidRPr="007B1BF4">
              <w:rPr>
                <w:iCs/>
                <w:color w:val="0070C0"/>
                <w:sz w:val="20"/>
                <w:szCs w:val="20"/>
              </w:rPr>
              <w:t xml:space="preserve">P2.) Kbt. 65.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a) pontja, illetve a VHR 321 19.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b) pontja alapján részvételre jelentkező nyilatkozzon, hogy a legutolsó </w:t>
            </w:r>
            <w:proofErr w:type="spellStart"/>
            <w:r w:rsidRPr="007B1BF4">
              <w:rPr>
                <w:iCs/>
                <w:color w:val="0070C0"/>
                <w:sz w:val="20"/>
                <w:szCs w:val="20"/>
              </w:rPr>
              <w:t>mérlegfordulónappal</w:t>
            </w:r>
            <w:proofErr w:type="spellEnd"/>
            <w:r w:rsidRPr="007B1BF4">
              <w:rPr>
                <w:iCs/>
                <w:color w:val="0070C0"/>
                <w:sz w:val="20"/>
                <w:szCs w:val="20"/>
              </w:rPr>
              <w:t xml:space="preserve"> lezárt évi üzleti évről szóló beszámolója (vagy jogelődje beszámolója), a céginformációs szolgálat honlapján megismerhető, úgy a beszámoló adatait az ajánlatkérő ellenőrzi, a céginformációs szolgálat honlapján megtalálható beszámoló csatolása nem szükséges.</w:t>
            </w:r>
          </w:p>
          <w:p w:rsidR="007B1BF4" w:rsidRPr="007B1BF4" w:rsidRDefault="007B1BF4" w:rsidP="007B1BF4">
            <w:pPr>
              <w:ind w:left="56" w:right="56"/>
              <w:rPr>
                <w:iCs/>
                <w:color w:val="0070C0"/>
                <w:sz w:val="20"/>
                <w:szCs w:val="20"/>
              </w:rPr>
            </w:pPr>
            <w:r w:rsidRPr="007B1BF4">
              <w:rPr>
                <w:iCs/>
                <w:color w:val="0070C0"/>
                <w:sz w:val="20"/>
                <w:szCs w:val="20"/>
              </w:rPr>
              <w:t xml:space="preserve">P3.) A VHR 321 19.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c) pontja alapján részvételre jelentkező nyilatkozzon a felhívás feladását megelőző utolsó lezárt üzleti év általános forgalmi adó nélkül számított teljes árbevételéről, attól függően, hogy a részvételre jelentkező mikor jött létre, illetve mikor kezdte meg tevékenységét, amennyiben ezek az adatok rendelkezésre állnak. Ajánlatkérő a részvételre jelentkező utolsó lezárt üzleti évre vonatkozó teljes, általános forgalmi adó nélkül számított árbevételét is a 2.) pontban írottak szerint ellenőrzi a céginformációs szolgálat honlapján megtalálható beszámolóból a Kbt. 65. §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a) pontjára, a VHR 321 19. §(1) </w:t>
            </w:r>
            <w:proofErr w:type="spellStart"/>
            <w:r w:rsidRPr="007B1BF4">
              <w:rPr>
                <w:iCs/>
                <w:color w:val="0070C0"/>
                <w:sz w:val="20"/>
                <w:szCs w:val="20"/>
              </w:rPr>
              <w:t>bek</w:t>
            </w:r>
            <w:proofErr w:type="spellEnd"/>
            <w:r>
              <w:rPr>
                <w:iCs/>
                <w:color w:val="0070C0"/>
                <w:sz w:val="20"/>
                <w:szCs w:val="20"/>
              </w:rPr>
              <w:t>.</w:t>
            </w:r>
            <w:r w:rsidRPr="007B1BF4">
              <w:rPr>
                <w:iCs/>
                <w:color w:val="0070C0"/>
                <w:sz w:val="20"/>
                <w:szCs w:val="20"/>
              </w:rPr>
              <w:t xml:space="preserve"> c) pontjára tekintettel.</w:t>
            </w:r>
          </w:p>
          <w:p w:rsidR="007B1BF4" w:rsidRDefault="007B1BF4" w:rsidP="007B1BF4">
            <w:pPr>
              <w:ind w:left="56" w:right="56"/>
              <w:rPr>
                <w:iCs/>
                <w:color w:val="0070C0"/>
                <w:sz w:val="20"/>
                <w:szCs w:val="20"/>
              </w:rPr>
            </w:pPr>
            <w:r w:rsidRPr="007B1BF4">
              <w:rPr>
                <w:iCs/>
                <w:color w:val="0070C0"/>
                <w:sz w:val="20"/>
                <w:szCs w:val="20"/>
              </w:rPr>
              <w:t>Azon részvételre jelentkező, aki nem rendelkezik az utolsó lezárt üzleti évről szóló beszámolóval, mert olyan jogi formában működik, amely tekintetében a beszámoló illetve az árbevételről szóló nyilatkozat benyújtása nem lehetséges, a VHR 321 19.§</w:t>
            </w:r>
            <w:proofErr w:type="spellStart"/>
            <w:r w:rsidRPr="007B1BF4">
              <w:rPr>
                <w:iCs/>
                <w:color w:val="0070C0"/>
                <w:sz w:val="20"/>
                <w:szCs w:val="20"/>
              </w:rPr>
              <w:t>-ának</w:t>
            </w:r>
            <w:proofErr w:type="spellEnd"/>
            <w:r w:rsidRPr="007B1BF4">
              <w:rPr>
                <w:iCs/>
                <w:color w:val="0070C0"/>
                <w:sz w:val="20"/>
                <w:szCs w:val="20"/>
              </w:rPr>
              <w:t xml:space="preserve"> (3) </w:t>
            </w:r>
            <w:proofErr w:type="spellStart"/>
            <w:r w:rsidRPr="007B1BF4">
              <w:rPr>
                <w:iCs/>
                <w:color w:val="0070C0"/>
                <w:sz w:val="20"/>
                <w:szCs w:val="20"/>
              </w:rPr>
              <w:t>bek.</w:t>
            </w:r>
            <w:r>
              <w:rPr>
                <w:iCs/>
                <w:color w:val="0070C0"/>
                <w:sz w:val="20"/>
                <w:szCs w:val="20"/>
              </w:rPr>
              <w:t>-</w:t>
            </w:r>
            <w:r w:rsidRPr="007B1BF4">
              <w:rPr>
                <w:iCs/>
                <w:color w:val="0070C0"/>
                <w:sz w:val="20"/>
                <w:szCs w:val="20"/>
              </w:rPr>
              <w:t>re</w:t>
            </w:r>
            <w:proofErr w:type="spellEnd"/>
            <w:r w:rsidRPr="007B1BF4">
              <w:rPr>
                <w:iCs/>
                <w:color w:val="0070C0"/>
                <w:sz w:val="20"/>
                <w:szCs w:val="20"/>
              </w:rPr>
              <w:t xml:space="preserve"> tekintettel alkalmasságára vonatkozóan részvételre jelentkező egyszerű nyilatkozatban, vagy adóbevallás másolatának benyújtásával nyilatkozzon.</w:t>
            </w:r>
          </w:p>
          <w:p w:rsidR="007B1BF4" w:rsidRDefault="007B1BF4" w:rsidP="007B1BF4">
            <w:pPr>
              <w:ind w:left="56" w:right="56"/>
              <w:rPr>
                <w:iCs/>
                <w:color w:val="0070C0"/>
                <w:sz w:val="20"/>
                <w:szCs w:val="20"/>
              </w:rPr>
            </w:pPr>
          </w:p>
          <w:p w:rsidR="007B1BF4" w:rsidRPr="007B1BF4" w:rsidRDefault="007B1BF4" w:rsidP="007B1BF4">
            <w:pPr>
              <w:ind w:left="56" w:right="56"/>
              <w:rPr>
                <w:iCs/>
                <w:color w:val="0070C0"/>
                <w:sz w:val="20"/>
                <w:szCs w:val="20"/>
              </w:rPr>
            </w:pPr>
            <w:r w:rsidRPr="007B1BF4">
              <w:rPr>
                <w:iCs/>
                <w:color w:val="0070C0"/>
                <w:sz w:val="20"/>
                <w:szCs w:val="20"/>
              </w:rPr>
              <w:t>Műszaki, illetve szakmai alkalmasság:</w:t>
            </w:r>
          </w:p>
          <w:p w:rsidR="007B1BF4" w:rsidRPr="007B1BF4" w:rsidRDefault="007B1BF4" w:rsidP="007B1BF4">
            <w:pPr>
              <w:ind w:left="56" w:right="56"/>
              <w:rPr>
                <w:iCs/>
                <w:color w:val="0070C0"/>
                <w:sz w:val="20"/>
                <w:szCs w:val="20"/>
              </w:rPr>
            </w:pPr>
            <w:r w:rsidRPr="007B1BF4">
              <w:rPr>
                <w:iCs/>
                <w:color w:val="0070C0"/>
                <w:sz w:val="20"/>
                <w:szCs w:val="20"/>
              </w:rPr>
              <w:t>M1.) VHR 321 21. § (1) bekezdés i) pontja alapján részvételre jelentkező alkalmatlan,</w:t>
            </w:r>
            <w:r>
              <w:rPr>
                <w:iCs/>
                <w:color w:val="0070C0"/>
                <w:sz w:val="20"/>
                <w:szCs w:val="20"/>
              </w:rPr>
              <w:t xml:space="preserve"> </w:t>
            </w:r>
            <w:r w:rsidRPr="007B1BF4">
              <w:rPr>
                <w:iCs/>
                <w:color w:val="0070C0"/>
                <w:sz w:val="20"/>
                <w:szCs w:val="20"/>
              </w:rPr>
              <w:t>amennyiben a közbeszerzés tárgya szerinti termékek</w:t>
            </w:r>
            <w:r>
              <w:rPr>
                <w:iCs/>
                <w:color w:val="0070C0"/>
                <w:sz w:val="20"/>
                <w:szCs w:val="20"/>
              </w:rPr>
              <w:t xml:space="preserve"> </w:t>
            </w:r>
            <w:r w:rsidRPr="007B1BF4">
              <w:rPr>
                <w:iCs/>
                <w:color w:val="0070C0"/>
                <w:sz w:val="20"/>
                <w:szCs w:val="20"/>
              </w:rPr>
              <w:t>nem felelnek az alábbi szabványoknak:</w:t>
            </w:r>
          </w:p>
          <w:p w:rsidR="007B1BF4" w:rsidRPr="007B1BF4" w:rsidRDefault="007B1BF4" w:rsidP="007B1BF4">
            <w:pPr>
              <w:ind w:left="56" w:right="56"/>
              <w:rPr>
                <w:iCs/>
                <w:color w:val="0070C0"/>
                <w:sz w:val="20"/>
                <w:szCs w:val="20"/>
              </w:rPr>
            </w:pPr>
            <w:r w:rsidRPr="007B1BF4">
              <w:rPr>
                <w:iCs/>
                <w:color w:val="0070C0"/>
                <w:sz w:val="20"/>
                <w:szCs w:val="20"/>
              </w:rPr>
              <w:t>A gyártás során betartandók a Szerződés létrejöttének időpontjában a készülékekre érvényes hazai /MSZ/ és</w:t>
            </w:r>
            <w:r>
              <w:rPr>
                <w:iCs/>
                <w:color w:val="0070C0"/>
                <w:sz w:val="20"/>
                <w:szCs w:val="20"/>
              </w:rPr>
              <w:t xml:space="preserve"> </w:t>
            </w:r>
            <w:r w:rsidRPr="007B1BF4">
              <w:rPr>
                <w:iCs/>
                <w:color w:val="0070C0"/>
                <w:sz w:val="20"/>
                <w:szCs w:val="20"/>
              </w:rPr>
              <w:t>nemzetközi /IEC/ szabványok.</w:t>
            </w:r>
          </w:p>
          <w:p w:rsidR="007B1BF4" w:rsidRPr="007B1BF4" w:rsidRDefault="007B1BF4" w:rsidP="007B1BF4">
            <w:pPr>
              <w:ind w:left="56" w:right="56"/>
              <w:rPr>
                <w:iCs/>
                <w:color w:val="0070C0"/>
                <w:sz w:val="20"/>
                <w:szCs w:val="20"/>
              </w:rPr>
            </w:pPr>
            <w:r w:rsidRPr="007B1BF4">
              <w:rPr>
                <w:iCs/>
                <w:color w:val="0070C0"/>
                <w:sz w:val="20"/>
                <w:szCs w:val="20"/>
              </w:rPr>
              <w:t>Az Ajánlattevő által javasolt egyéb nemzetközi és nemzeti szabvány alkalmazása min</w:t>
            </w:r>
            <w:r w:rsidRPr="007B1BF4">
              <w:rPr>
                <w:iCs/>
                <w:color w:val="0070C0"/>
                <w:sz w:val="20"/>
                <w:szCs w:val="20"/>
              </w:rPr>
              <w:softHyphen/>
              <w:t>den esetben Ajánlatkérő engedélyéhez kötött, az elbíráláshoz Ajánlattevő</w:t>
            </w:r>
            <w:r w:rsidRPr="007B1BF4">
              <w:rPr>
                <w:iCs/>
                <w:color w:val="0070C0"/>
                <w:sz w:val="20"/>
                <w:szCs w:val="20"/>
              </w:rPr>
              <w:softHyphen/>
              <w:t xml:space="preserve">nek be kell nyújtania annak (vagy az alkalmazni kívánt résznek és a </w:t>
            </w:r>
            <w:r w:rsidRPr="007B1BF4">
              <w:rPr>
                <w:iCs/>
                <w:color w:val="0070C0"/>
                <w:sz w:val="20"/>
                <w:szCs w:val="20"/>
              </w:rPr>
              <w:lastRenderedPageBreak/>
              <w:t>hivatkozásoknak) hiteles magyar nyelvű fordítását.</w:t>
            </w:r>
          </w:p>
          <w:p w:rsidR="007B1BF4" w:rsidRPr="007B1BF4" w:rsidRDefault="007B1BF4" w:rsidP="007B1BF4">
            <w:pPr>
              <w:ind w:left="56" w:right="56"/>
              <w:rPr>
                <w:iCs/>
                <w:color w:val="0070C0"/>
                <w:sz w:val="20"/>
                <w:szCs w:val="20"/>
              </w:rPr>
            </w:pPr>
            <w:bookmarkStart w:id="0" w:name="_Toc125343418"/>
            <w:r w:rsidRPr="007B1BF4">
              <w:rPr>
                <w:iCs/>
                <w:color w:val="0070C0"/>
                <w:sz w:val="20"/>
                <w:szCs w:val="20"/>
              </w:rPr>
              <w:t>Nemzeti és nemzetközi szabványok</w:t>
            </w:r>
            <w:bookmarkEnd w:id="0"/>
            <w:r w:rsidRPr="007B1BF4">
              <w:rPr>
                <w:iCs/>
                <w:color w:val="0070C0"/>
                <w:sz w:val="20"/>
                <w:szCs w:val="20"/>
              </w:rPr>
              <w:t xml:space="preserve"> különös tekintettel az alábbiak:</w:t>
            </w:r>
          </w:p>
          <w:p w:rsidR="007B1BF4" w:rsidRPr="007B1BF4" w:rsidRDefault="007B1BF4" w:rsidP="007B1BF4">
            <w:pPr>
              <w:ind w:left="56" w:right="56"/>
              <w:rPr>
                <w:iCs/>
                <w:color w:val="0070C0"/>
                <w:sz w:val="20"/>
                <w:szCs w:val="20"/>
              </w:rPr>
            </w:pPr>
            <w:r w:rsidRPr="007B1BF4">
              <w:rPr>
                <w:iCs/>
                <w:color w:val="0070C0"/>
                <w:sz w:val="20"/>
                <w:szCs w:val="20"/>
              </w:rPr>
              <w:t>MSZ EN 60076-1:2003 Teljesítménytranszformátorok. Általános előírások.</w:t>
            </w:r>
          </w:p>
          <w:p w:rsidR="007B1BF4" w:rsidRPr="007B1BF4" w:rsidRDefault="007B1BF4" w:rsidP="007B1BF4">
            <w:pPr>
              <w:ind w:left="56" w:right="56"/>
              <w:rPr>
                <w:iCs/>
                <w:color w:val="0070C0"/>
                <w:sz w:val="20"/>
                <w:szCs w:val="20"/>
              </w:rPr>
            </w:pPr>
            <w:r w:rsidRPr="007B1BF4">
              <w:rPr>
                <w:iCs/>
                <w:color w:val="0070C0"/>
                <w:sz w:val="20"/>
                <w:szCs w:val="20"/>
              </w:rPr>
              <w:t>MSZ EN 60076-2:2011 Erősáramú transzformátorok. Melegedés.</w:t>
            </w:r>
          </w:p>
          <w:p w:rsidR="007B1BF4" w:rsidRPr="007B1BF4" w:rsidRDefault="007B1BF4" w:rsidP="007B1BF4">
            <w:pPr>
              <w:ind w:left="56" w:right="56"/>
              <w:rPr>
                <w:iCs/>
                <w:color w:val="0070C0"/>
                <w:sz w:val="20"/>
                <w:szCs w:val="20"/>
              </w:rPr>
            </w:pPr>
            <w:r w:rsidRPr="007B1BF4">
              <w:rPr>
                <w:iCs/>
                <w:color w:val="0070C0"/>
                <w:sz w:val="20"/>
                <w:szCs w:val="20"/>
              </w:rPr>
              <w:t>MSZ EN 60076-3:2001 Teljesítménytranszformátorok. 3. rész: Szigetelési szintek, villamos szilárdsági vizsgálatok és külső légközök</w:t>
            </w:r>
          </w:p>
          <w:p w:rsidR="007B1BF4" w:rsidRPr="007B1BF4" w:rsidRDefault="007B1BF4" w:rsidP="007B1BF4">
            <w:pPr>
              <w:ind w:left="56" w:right="56"/>
              <w:rPr>
                <w:iCs/>
                <w:color w:val="0070C0"/>
                <w:sz w:val="20"/>
                <w:szCs w:val="20"/>
              </w:rPr>
            </w:pPr>
            <w:r w:rsidRPr="007B1BF4">
              <w:rPr>
                <w:iCs/>
                <w:color w:val="0070C0"/>
                <w:sz w:val="20"/>
                <w:szCs w:val="20"/>
              </w:rPr>
              <w:t xml:space="preserve">MSZ EN 60076-4:2003 Teljesítménytranszformátorok. 4. rész: A </w:t>
            </w:r>
            <w:proofErr w:type="spellStart"/>
            <w:r w:rsidRPr="007B1BF4">
              <w:rPr>
                <w:iCs/>
                <w:color w:val="0070C0"/>
                <w:sz w:val="20"/>
                <w:szCs w:val="20"/>
              </w:rPr>
              <w:t>lökőfeszültség-</w:t>
            </w:r>
            <w:proofErr w:type="spellEnd"/>
            <w:r w:rsidRPr="007B1BF4">
              <w:rPr>
                <w:iCs/>
                <w:color w:val="0070C0"/>
                <w:sz w:val="20"/>
                <w:szCs w:val="20"/>
              </w:rPr>
              <w:t xml:space="preserve"> és a kapcsolási hullámú vizsgálatok irányelvei.</w:t>
            </w:r>
          </w:p>
          <w:p w:rsidR="007B1BF4" w:rsidRPr="007B1BF4" w:rsidRDefault="007B1BF4" w:rsidP="007B1BF4">
            <w:pPr>
              <w:ind w:left="56" w:right="56"/>
              <w:rPr>
                <w:iCs/>
                <w:color w:val="0070C0"/>
                <w:sz w:val="20"/>
                <w:szCs w:val="20"/>
              </w:rPr>
            </w:pPr>
            <w:r w:rsidRPr="007B1BF4">
              <w:rPr>
                <w:iCs/>
                <w:color w:val="0070C0"/>
                <w:sz w:val="20"/>
                <w:szCs w:val="20"/>
              </w:rPr>
              <w:t>MSZ EN 60076-5:2006 Teljesítménytranszformátorok. 5. rész: Zárlatbiztosság.</w:t>
            </w:r>
          </w:p>
          <w:p w:rsidR="007B1BF4" w:rsidRPr="007B1BF4" w:rsidRDefault="007B1BF4" w:rsidP="007B1BF4">
            <w:pPr>
              <w:ind w:left="56" w:right="56"/>
              <w:rPr>
                <w:iCs/>
                <w:color w:val="0070C0"/>
                <w:sz w:val="20"/>
                <w:szCs w:val="20"/>
              </w:rPr>
            </w:pPr>
            <w:r w:rsidRPr="007B1BF4">
              <w:rPr>
                <w:iCs/>
                <w:color w:val="0070C0"/>
                <w:sz w:val="20"/>
                <w:szCs w:val="20"/>
              </w:rPr>
              <w:t>MSZ EN 60076-10:2001 Teljesítménytranszformátorok. 10. rész: A zajszintek meghatározása.</w:t>
            </w:r>
          </w:p>
          <w:p w:rsidR="007B1BF4" w:rsidRPr="007B1BF4" w:rsidRDefault="007B1BF4" w:rsidP="007B1BF4">
            <w:pPr>
              <w:ind w:left="56" w:right="56"/>
              <w:rPr>
                <w:iCs/>
                <w:color w:val="0070C0"/>
                <w:sz w:val="20"/>
                <w:szCs w:val="20"/>
              </w:rPr>
            </w:pPr>
            <w:r w:rsidRPr="007B1BF4">
              <w:rPr>
                <w:iCs/>
                <w:color w:val="0070C0"/>
                <w:sz w:val="20"/>
                <w:szCs w:val="20"/>
              </w:rPr>
              <w:t>MSZ EN 50110-1:2005 Villamos berendezések üzemeltetése</w:t>
            </w:r>
          </w:p>
          <w:p w:rsidR="007B1BF4" w:rsidRPr="007B1BF4" w:rsidRDefault="007B1BF4" w:rsidP="007B1BF4">
            <w:pPr>
              <w:ind w:left="56" w:right="56"/>
              <w:rPr>
                <w:iCs/>
                <w:color w:val="0070C0"/>
                <w:sz w:val="20"/>
                <w:szCs w:val="20"/>
              </w:rPr>
            </w:pPr>
            <w:r w:rsidRPr="007B1BF4">
              <w:rPr>
                <w:iCs/>
                <w:color w:val="0070C0"/>
                <w:sz w:val="20"/>
                <w:szCs w:val="20"/>
              </w:rPr>
              <w:t xml:space="preserve">MSZ EN 50180:2011 1 kV feletti, legfeljebb 52 kV feszültségű és 250 </w:t>
            </w:r>
            <w:proofErr w:type="gramStart"/>
            <w:r w:rsidRPr="007B1BF4">
              <w:rPr>
                <w:iCs/>
                <w:color w:val="0070C0"/>
                <w:sz w:val="20"/>
                <w:szCs w:val="20"/>
              </w:rPr>
              <w:t>A-</w:t>
            </w:r>
            <w:proofErr w:type="gramEnd"/>
            <w:r w:rsidRPr="007B1BF4">
              <w:rPr>
                <w:iCs/>
                <w:color w:val="0070C0"/>
                <w:sz w:val="20"/>
                <w:szCs w:val="20"/>
              </w:rPr>
              <w:t xml:space="preserve"> 3,15 </w:t>
            </w:r>
            <w:proofErr w:type="spellStart"/>
            <w:r w:rsidRPr="007B1BF4">
              <w:rPr>
                <w:iCs/>
                <w:color w:val="0070C0"/>
                <w:sz w:val="20"/>
                <w:szCs w:val="20"/>
              </w:rPr>
              <w:t>kA</w:t>
            </w:r>
            <w:proofErr w:type="spellEnd"/>
            <w:r w:rsidRPr="007B1BF4">
              <w:rPr>
                <w:iCs/>
                <w:color w:val="0070C0"/>
                <w:sz w:val="20"/>
                <w:szCs w:val="20"/>
              </w:rPr>
              <w:t xml:space="preserve"> áramerősségű átvezető szigetelők folyadéktöltésű transzformátorokhoz.</w:t>
            </w:r>
          </w:p>
          <w:p w:rsidR="007B1BF4" w:rsidRPr="007B1BF4" w:rsidRDefault="007B1BF4" w:rsidP="007B1BF4">
            <w:pPr>
              <w:ind w:left="56" w:right="56"/>
              <w:rPr>
                <w:iCs/>
                <w:color w:val="0070C0"/>
                <w:sz w:val="20"/>
                <w:szCs w:val="20"/>
              </w:rPr>
            </w:pPr>
            <w:r w:rsidRPr="007B1BF4">
              <w:rPr>
                <w:iCs/>
                <w:color w:val="0070C0"/>
                <w:sz w:val="20"/>
                <w:szCs w:val="20"/>
              </w:rPr>
              <w:t>MSZ EN 50216-1</w:t>
            </w:r>
            <w:proofErr w:type="gramStart"/>
            <w:r w:rsidRPr="007B1BF4">
              <w:rPr>
                <w:iCs/>
                <w:color w:val="0070C0"/>
                <w:sz w:val="20"/>
                <w:szCs w:val="20"/>
              </w:rPr>
              <w:t>…5</w:t>
            </w:r>
            <w:proofErr w:type="gramEnd"/>
            <w:r w:rsidRPr="007B1BF4">
              <w:rPr>
                <w:iCs/>
                <w:color w:val="0070C0"/>
                <w:sz w:val="20"/>
                <w:szCs w:val="20"/>
              </w:rPr>
              <w:t xml:space="preserve">  Teljesítménytranszformátorok és fojtótekercsek szerelvényei.</w:t>
            </w:r>
          </w:p>
          <w:p w:rsidR="007B1BF4" w:rsidRPr="007B1BF4" w:rsidRDefault="007B1BF4" w:rsidP="007B1BF4">
            <w:pPr>
              <w:ind w:left="56" w:right="56"/>
              <w:rPr>
                <w:iCs/>
                <w:color w:val="0070C0"/>
                <w:sz w:val="20"/>
                <w:szCs w:val="20"/>
              </w:rPr>
            </w:pPr>
            <w:r w:rsidRPr="007B1BF4">
              <w:rPr>
                <w:iCs/>
                <w:color w:val="0070C0"/>
                <w:sz w:val="20"/>
                <w:szCs w:val="20"/>
              </w:rPr>
              <w:t>MSZ EN 60050 Nemzetközi elektrotechnikai szótár szabványsorozat.</w:t>
            </w:r>
          </w:p>
          <w:p w:rsidR="007B1BF4" w:rsidRPr="007B1BF4" w:rsidRDefault="007B1BF4" w:rsidP="007B1BF4">
            <w:pPr>
              <w:ind w:left="56" w:right="56"/>
              <w:rPr>
                <w:iCs/>
                <w:color w:val="0070C0"/>
                <w:sz w:val="20"/>
                <w:szCs w:val="20"/>
              </w:rPr>
            </w:pPr>
            <w:r w:rsidRPr="007B1BF4">
              <w:rPr>
                <w:iCs/>
                <w:color w:val="0070C0"/>
                <w:sz w:val="20"/>
                <w:szCs w:val="20"/>
              </w:rPr>
              <w:t xml:space="preserve">MSZ EN 60137 1000 </w:t>
            </w:r>
            <w:proofErr w:type="spellStart"/>
            <w:r w:rsidRPr="007B1BF4">
              <w:rPr>
                <w:iCs/>
                <w:color w:val="0070C0"/>
                <w:sz w:val="20"/>
                <w:szCs w:val="20"/>
              </w:rPr>
              <w:t>V-nál</w:t>
            </w:r>
            <w:proofErr w:type="spellEnd"/>
            <w:r w:rsidRPr="007B1BF4">
              <w:rPr>
                <w:iCs/>
                <w:color w:val="0070C0"/>
                <w:sz w:val="20"/>
                <w:szCs w:val="20"/>
              </w:rPr>
              <w:t xml:space="preserve"> nagyobb váltakozó feszültségű </w:t>
            </w:r>
            <w:proofErr w:type="spellStart"/>
            <w:r w:rsidRPr="007B1BF4">
              <w:rPr>
                <w:iCs/>
                <w:color w:val="0070C0"/>
                <w:sz w:val="20"/>
                <w:szCs w:val="20"/>
              </w:rPr>
              <w:t>átvezetőszigetelők</w:t>
            </w:r>
            <w:proofErr w:type="spellEnd"/>
            <w:r w:rsidRPr="007B1BF4">
              <w:rPr>
                <w:iCs/>
                <w:color w:val="0070C0"/>
                <w:sz w:val="20"/>
                <w:szCs w:val="20"/>
              </w:rPr>
              <w:t>.</w:t>
            </w:r>
          </w:p>
          <w:p w:rsidR="007B1BF4" w:rsidRPr="007B1BF4" w:rsidRDefault="007B1BF4" w:rsidP="007B1BF4">
            <w:pPr>
              <w:ind w:left="56" w:right="56"/>
              <w:rPr>
                <w:iCs/>
                <w:color w:val="0070C0"/>
                <w:sz w:val="20"/>
                <w:szCs w:val="20"/>
              </w:rPr>
            </w:pPr>
            <w:r w:rsidRPr="007B1BF4">
              <w:rPr>
                <w:iCs/>
                <w:color w:val="0070C0"/>
                <w:sz w:val="20"/>
                <w:szCs w:val="20"/>
              </w:rPr>
              <w:t>MSZ EN 60156 Szigetelőfolyadékok. Az ipari frekvenciás átütési feszültség meghatározása. Vizsgálati módszer.</w:t>
            </w:r>
          </w:p>
          <w:p w:rsidR="007B1BF4" w:rsidRPr="007B1BF4" w:rsidRDefault="007B1BF4" w:rsidP="007B1BF4">
            <w:pPr>
              <w:ind w:left="56" w:right="56"/>
              <w:rPr>
                <w:iCs/>
                <w:color w:val="0070C0"/>
                <w:sz w:val="20"/>
                <w:szCs w:val="20"/>
              </w:rPr>
            </w:pPr>
            <w:r w:rsidRPr="007B1BF4">
              <w:rPr>
                <w:iCs/>
                <w:color w:val="0070C0"/>
                <w:sz w:val="20"/>
                <w:szCs w:val="20"/>
              </w:rPr>
              <w:t>MSZ EN 60214 Terhelés alatti fokozatkapcsolók.</w:t>
            </w:r>
          </w:p>
          <w:p w:rsidR="007B1BF4" w:rsidRPr="007B1BF4" w:rsidRDefault="007B1BF4" w:rsidP="007B1BF4">
            <w:pPr>
              <w:ind w:left="56" w:right="56"/>
              <w:rPr>
                <w:iCs/>
                <w:color w:val="0070C0"/>
                <w:sz w:val="20"/>
                <w:szCs w:val="20"/>
              </w:rPr>
            </w:pPr>
            <w:r w:rsidRPr="007B1BF4">
              <w:rPr>
                <w:iCs/>
                <w:color w:val="0070C0"/>
                <w:sz w:val="20"/>
                <w:szCs w:val="20"/>
              </w:rPr>
              <w:t>MSZ EN 60270 Nagyfeszültségű vizsgálati módszerek. A részleges kisülések mérése.</w:t>
            </w:r>
          </w:p>
          <w:p w:rsidR="007B1BF4" w:rsidRPr="007B1BF4" w:rsidRDefault="007B1BF4" w:rsidP="007B1BF4">
            <w:pPr>
              <w:ind w:left="56" w:right="56"/>
              <w:rPr>
                <w:iCs/>
                <w:color w:val="0070C0"/>
                <w:sz w:val="20"/>
                <w:szCs w:val="20"/>
              </w:rPr>
            </w:pPr>
            <w:r w:rsidRPr="007B1BF4">
              <w:rPr>
                <w:iCs/>
                <w:color w:val="0070C0"/>
                <w:sz w:val="20"/>
                <w:szCs w:val="20"/>
              </w:rPr>
              <w:t xml:space="preserve">MSZ EN 60296:2005 Transzformátorok és </w:t>
            </w:r>
            <w:proofErr w:type="spellStart"/>
            <w:r w:rsidRPr="007B1BF4">
              <w:rPr>
                <w:iCs/>
                <w:color w:val="0070C0"/>
                <w:sz w:val="20"/>
                <w:szCs w:val="20"/>
              </w:rPr>
              <w:t>kapcsolóberendezések</w:t>
            </w:r>
            <w:proofErr w:type="spellEnd"/>
            <w:r w:rsidRPr="007B1BF4">
              <w:rPr>
                <w:iCs/>
                <w:color w:val="0070C0"/>
                <w:sz w:val="20"/>
                <w:szCs w:val="20"/>
              </w:rPr>
              <w:t xml:space="preserve"> ásványolaj-alapú, használatlan szigetelőolajainak minőségi követelményei.</w:t>
            </w:r>
          </w:p>
          <w:p w:rsidR="007B1BF4" w:rsidRPr="007B1BF4" w:rsidRDefault="007B1BF4" w:rsidP="007B1BF4">
            <w:pPr>
              <w:ind w:left="56" w:right="56"/>
              <w:rPr>
                <w:iCs/>
                <w:color w:val="0070C0"/>
                <w:sz w:val="20"/>
                <w:szCs w:val="20"/>
              </w:rPr>
            </w:pPr>
            <w:r w:rsidRPr="007B1BF4">
              <w:rPr>
                <w:iCs/>
                <w:color w:val="0070C0"/>
                <w:sz w:val="20"/>
                <w:szCs w:val="20"/>
              </w:rPr>
              <w:t>MSZ EN 60422:2006 Villamos berendezésekben alkalmazott ásványolaj-alapú szigetelő olajok ellenőrzési és kezelési útmutatója.</w:t>
            </w:r>
          </w:p>
          <w:p w:rsidR="007B1BF4" w:rsidRPr="007B1BF4" w:rsidRDefault="007B1BF4" w:rsidP="007B1BF4">
            <w:pPr>
              <w:ind w:left="56" w:right="56"/>
              <w:rPr>
                <w:iCs/>
                <w:color w:val="0070C0"/>
                <w:sz w:val="20"/>
                <w:szCs w:val="20"/>
              </w:rPr>
            </w:pPr>
            <w:r w:rsidRPr="007B1BF4">
              <w:rPr>
                <w:iCs/>
                <w:color w:val="0070C0"/>
                <w:sz w:val="20"/>
                <w:szCs w:val="20"/>
              </w:rPr>
              <w:t xml:space="preserve">MSZ EN 60551 Transzformátorok és fojtótekercsek zajszintjének meghatározása </w:t>
            </w:r>
          </w:p>
          <w:p w:rsidR="007B1BF4" w:rsidRPr="007B1BF4" w:rsidRDefault="007B1BF4" w:rsidP="007B1BF4">
            <w:pPr>
              <w:ind w:left="56" w:right="56"/>
              <w:rPr>
                <w:iCs/>
                <w:color w:val="0070C0"/>
                <w:sz w:val="20"/>
                <w:szCs w:val="20"/>
              </w:rPr>
            </w:pPr>
            <w:r w:rsidRPr="007B1BF4">
              <w:rPr>
                <w:iCs/>
                <w:color w:val="0070C0"/>
                <w:sz w:val="20"/>
                <w:szCs w:val="20"/>
              </w:rPr>
              <w:t>MSZ EN 61869 Mérőtranszformátorok szabványsorozat.</w:t>
            </w:r>
          </w:p>
          <w:p w:rsidR="007B1BF4" w:rsidRPr="007B1BF4" w:rsidRDefault="007B1BF4" w:rsidP="007B1BF4">
            <w:pPr>
              <w:ind w:left="56" w:right="56"/>
              <w:rPr>
                <w:iCs/>
                <w:color w:val="0070C0"/>
                <w:sz w:val="20"/>
                <w:szCs w:val="20"/>
              </w:rPr>
            </w:pPr>
            <w:r w:rsidRPr="007B1BF4">
              <w:rPr>
                <w:iCs/>
                <w:color w:val="0070C0"/>
                <w:sz w:val="20"/>
                <w:szCs w:val="20"/>
              </w:rPr>
              <w:t xml:space="preserve">MSZ EN ISO 1461 </w:t>
            </w:r>
            <w:proofErr w:type="spellStart"/>
            <w:r w:rsidRPr="007B1BF4">
              <w:rPr>
                <w:iCs/>
                <w:color w:val="0070C0"/>
                <w:sz w:val="20"/>
                <w:szCs w:val="20"/>
              </w:rPr>
              <w:t>Tűzihorganyzással</w:t>
            </w:r>
            <w:proofErr w:type="spellEnd"/>
            <w:r w:rsidRPr="007B1BF4">
              <w:rPr>
                <w:iCs/>
                <w:color w:val="0070C0"/>
                <w:sz w:val="20"/>
                <w:szCs w:val="20"/>
              </w:rPr>
              <w:t xml:space="preserve"> kialakított bevonatok kész vas- és acéltermékeken. Követelmények és vizsgálati módszerek.</w:t>
            </w:r>
          </w:p>
          <w:p w:rsidR="007B1BF4" w:rsidRPr="007B1BF4" w:rsidRDefault="007B1BF4" w:rsidP="007B1BF4">
            <w:pPr>
              <w:ind w:left="56" w:right="56"/>
              <w:rPr>
                <w:iCs/>
                <w:color w:val="0070C0"/>
                <w:sz w:val="20"/>
                <w:szCs w:val="20"/>
              </w:rPr>
            </w:pPr>
            <w:r w:rsidRPr="007B1BF4">
              <w:rPr>
                <w:iCs/>
                <w:color w:val="0070C0"/>
                <w:sz w:val="20"/>
                <w:szCs w:val="20"/>
              </w:rPr>
              <w:t>MSZ EN ISO 2409 Festékek és lakkok. Rácsvágásos vizsgálat.</w:t>
            </w:r>
          </w:p>
          <w:p w:rsidR="007B1BF4" w:rsidRPr="007B1BF4" w:rsidRDefault="007B1BF4" w:rsidP="007B1BF4">
            <w:pPr>
              <w:ind w:left="56" w:right="56"/>
              <w:rPr>
                <w:iCs/>
                <w:color w:val="0070C0"/>
                <w:sz w:val="20"/>
                <w:szCs w:val="20"/>
              </w:rPr>
            </w:pPr>
            <w:r w:rsidRPr="007B1BF4">
              <w:rPr>
                <w:iCs/>
                <w:color w:val="0070C0"/>
                <w:sz w:val="20"/>
                <w:szCs w:val="20"/>
              </w:rPr>
              <w:t>MSZ EN ISO 2808 Festékek és lakkok. Rétegvastagság meghatározása.</w:t>
            </w:r>
          </w:p>
          <w:p w:rsidR="007B1BF4" w:rsidRPr="007B1BF4" w:rsidRDefault="007B1BF4" w:rsidP="007B1BF4">
            <w:pPr>
              <w:ind w:left="56" w:right="56"/>
              <w:rPr>
                <w:iCs/>
                <w:color w:val="0070C0"/>
                <w:sz w:val="20"/>
                <w:szCs w:val="20"/>
              </w:rPr>
            </w:pPr>
            <w:r w:rsidRPr="007B1BF4">
              <w:rPr>
                <w:iCs/>
                <w:color w:val="0070C0"/>
                <w:sz w:val="20"/>
                <w:szCs w:val="20"/>
              </w:rPr>
              <w:t>MSZ EN ISO 9001 Minőségirányítási rendszerek. Követelmények.</w:t>
            </w:r>
          </w:p>
          <w:p w:rsidR="007B1BF4" w:rsidRPr="007B1BF4" w:rsidRDefault="007B1BF4" w:rsidP="007B1BF4">
            <w:pPr>
              <w:ind w:left="56" w:right="56"/>
              <w:rPr>
                <w:iCs/>
                <w:color w:val="0070C0"/>
                <w:sz w:val="20"/>
                <w:szCs w:val="20"/>
              </w:rPr>
            </w:pPr>
            <w:r w:rsidRPr="007B1BF4">
              <w:rPr>
                <w:iCs/>
                <w:color w:val="0070C0"/>
                <w:sz w:val="20"/>
                <w:szCs w:val="20"/>
              </w:rPr>
              <w:t xml:space="preserve">IEC 60060-1 Nagyfeszültségű vizsgálati technika. 1. rész: Általános </w:t>
            </w:r>
            <w:proofErr w:type="spellStart"/>
            <w:r w:rsidRPr="007B1BF4">
              <w:rPr>
                <w:iCs/>
                <w:color w:val="0070C0"/>
                <w:sz w:val="20"/>
                <w:szCs w:val="20"/>
              </w:rPr>
              <w:t>fogalommeghatározások</w:t>
            </w:r>
            <w:proofErr w:type="spellEnd"/>
            <w:r w:rsidRPr="007B1BF4">
              <w:rPr>
                <w:iCs/>
                <w:color w:val="0070C0"/>
                <w:sz w:val="20"/>
                <w:szCs w:val="20"/>
              </w:rPr>
              <w:t xml:space="preserve"> és vizsgálati követelmények</w:t>
            </w:r>
          </w:p>
          <w:p w:rsidR="007B1BF4" w:rsidRPr="007B1BF4" w:rsidRDefault="007B1BF4" w:rsidP="007B1BF4">
            <w:pPr>
              <w:ind w:left="56" w:right="56"/>
              <w:rPr>
                <w:iCs/>
                <w:color w:val="0070C0"/>
                <w:sz w:val="20"/>
                <w:szCs w:val="20"/>
              </w:rPr>
            </w:pPr>
            <w:r w:rsidRPr="007B1BF4">
              <w:rPr>
                <w:iCs/>
                <w:color w:val="0070C0"/>
                <w:sz w:val="20"/>
                <w:szCs w:val="20"/>
              </w:rPr>
              <w:t>IEC 60060-2 Nagyfeszültségű vizsgálati technika. 2. rész: Mérőrendszerek.</w:t>
            </w:r>
          </w:p>
          <w:p w:rsidR="007B1BF4" w:rsidRPr="007B1BF4" w:rsidRDefault="007B1BF4" w:rsidP="007B1BF4">
            <w:pPr>
              <w:ind w:left="56" w:right="56"/>
              <w:rPr>
                <w:iCs/>
                <w:color w:val="0070C0"/>
                <w:sz w:val="20"/>
                <w:szCs w:val="20"/>
              </w:rPr>
            </w:pPr>
            <w:r w:rsidRPr="007B1BF4">
              <w:rPr>
                <w:iCs/>
                <w:color w:val="0070C0"/>
                <w:sz w:val="20"/>
                <w:szCs w:val="20"/>
              </w:rPr>
              <w:t xml:space="preserve">IEC 60475 </w:t>
            </w:r>
            <w:proofErr w:type="spellStart"/>
            <w:r w:rsidRPr="007B1BF4">
              <w:rPr>
                <w:iCs/>
                <w:color w:val="0070C0"/>
                <w:sz w:val="20"/>
                <w:szCs w:val="20"/>
              </w:rPr>
              <w:t>Method</w:t>
            </w:r>
            <w:proofErr w:type="spellEnd"/>
            <w:r w:rsidRPr="007B1BF4">
              <w:rPr>
                <w:iCs/>
                <w:color w:val="0070C0"/>
                <w:sz w:val="20"/>
                <w:szCs w:val="20"/>
              </w:rPr>
              <w:t xml:space="preserve"> of </w:t>
            </w:r>
            <w:proofErr w:type="spellStart"/>
            <w:r w:rsidRPr="007B1BF4">
              <w:rPr>
                <w:iCs/>
                <w:color w:val="0070C0"/>
                <w:sz w:val="20"/>
                <w:szCs w:val="20"/>
              </w:rPr>
              <w:t>sampling</w:t>
            </w:r>
            <w:proofErr w:type="spellEnd"/>
            <w:r w:rsidRPr="007B1BF4">
              <w:rPr>
                <w:iCs/>
                <w:color w:val="0070C0"/>
                <w:sz w:val="20"/>
                <w:szCs w:val="20"/>
              </w:rPr>
              <w:t xml:space="preserve"> </w:t>
            </w:r>
            <w:proofErr w:type="spellStart"/>
            <w:r w:rsidRPr="007B1BF4">
              <w:rPr>
                <w:iCs/>
                <w:color w:val="0070C0"/>
                <w:sz w:val="20"/>
                <w:szCs w:val="20"/>
              </w:rPr>
              <w:t>liquid</w:t>
            </w:r>
            <w:proofErr w:type="spellEnd"/>
            <w:r w:rsidRPr="007B1BF4">
              <w:rPr>
                <w:iCs/>
                <w:color w:val="0070C0"/>
                <w:sz w:val="20"/>
                <w:szCs w:val="20"/>
              </w:rPr>
              <w:t xml:space="preserve"> </w:t>
            </w:r>
            <w:proofErr w:type="spellStart"/>
            <w:r w:rsidRPr="007B1BF4">
              <w:rPr>
                <w:iCs/>
                <w:color w:val="0070C0"/>
                <w:sz w:val="20"/>
                <w:szCs w:val="20"/>
              </w:rPr>
              <w:t>dielectrics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60599 </w:t>
            </w:r>
            <w:proofErr w:type="spellStart"/>
            <w:r w:rsidRPr="007B1BF4">
              <w:rPr>
                <w:iCs/>
                <w:color w:val="0070C0"/>
                <w:sz w:val="20"/>
                <w:szCs w:val="20"/>
              </w:rPr>
              <w:t>Mineral</w:t>
            </w:r>
            <w:proofErr w:type="spellEnd"/>
            <w:r w:rsidRPr="007B1BF4">
              <w:rPr>
                <w:iCs/>
                <w:color w:val="0070C0"/>
                <w:sz w:val="20"/>
                <w:szCs w:val="20"/>
              </w:rPr>
              <w:t xml:space="preserve"> </w:t>
            </w:r>
            <w:proofErr w:type="spellStart"/>
            <w:r w:rsidRPr="007B1BF4">
              <w:rPr>
                <w:iCs/>
                <w:color w:val="0070C0"/>
                <w:sz w:val="20"/>
                <w:szCs w:val="20"/>
              </w:rPr>
              <w:t>oil</w:t>
            </w:r>
            <w:proofErr w:type="spellEnd"/>
            <w:r w:rsidRPr="007B1BF4">
              <w:rPr>
                <w:iCs/>
                <w:color w:val="0070C0"/>
                <w:sz w:val="20"/>
                <w:szCs w:val="20"/>
              </w:rPr>
              <w:t xml:space="preserve"> –</w:t>
            </w:r>
            <w:proofErr w:type="spellStart"/>
            <w:r w:rsidRPr="007B1BF4">
              <w:rPr>
                <w:iCs/>
                <w:color w:val="0070C0"/>
                <w:sz w:val="20"/>
                <w:szCs w:val="20"/>
              </w:rPr>
              <w:t>impregnated</w:t>
            </w:r>
            <w:proofErr w:type="spellEnd"/>
            <w:r w:rsidRPr="007B1BF4">
              <w:rPr>
                <w:iCs/>
                <w:color w:val="0070C0"/>
                <w:sz w:val="20"/>
                <w:szCs w:val="20"/>
              </w:rPr>
              <w:t xml:space="preserve"> </w:t>
            </w:r>
            <w:proofErr w:type="spellStart"/>
            <w:r w:rsidRPr="007B1BF4">
              <w:rPr>
                <w:iCs/>
                <w:color w:val="0070C0"/>
                <w:sz w:val="20"/>
                <w:szCs w:val="20"/>
              </w:rPr>
              <w:t>ectrical</w:t>
            </w:r>
            <w:proofErr w:type="spellEnd"/>
            <w:r w:rsidRPr="007B1BF4">
              <w:rPr>
                <w:iCs/>
                <w:color w:val="0070C0"/>
                <w:sz w:val="20"/>
                <w:szCs w:val="20"/>
              </w:rPr>
              <w:t xml:space="preserve"> </w:t>
            </w:r>
            <w:proofErr w:type="spellStart"/>
            <w:r w:rsidRPr="007B1BF4">
              <w:rPr>
                <w:iCs/>
                <w:color w:val="0070C0"/>
                <w:sz w:val="20"/>
                <w:szCs w:val="20"/>
              </w:rPr>
              <w:t>eqvipment</w:t>
            </w:r>
            <w:proofErr w:type="spellEnd"/>
            <w:r w:rsidRPr="007B1BF4">
              <w:rPr>
                <w:iCs/>
                <w:color w:val="0070C0"/>
                <w:sz w:val="20"/>
                <w:szCs w:val="20"/>
              </w:rPr>
              <w:t xml:space="preserve"> </w:t>
            </w:r>
            <w:proofErr w:type="spellStart"/>
            <w:r w:rsidRPr="007B1BF4">
              <w:rPr>
                <w:iCs/>
                <w:color w:val="0070C0"/>
                <w:sz w:val="20"/>
                <w:szCs w:val="20"/>
              </w:rPr>
              <w:t>in</w:t>
            </w:r>
            <w:proofErr w:type="spellEnd"/>
            <w:r w:rsidRPr="007B1BF4">
              <w:rPr>
                <w:iCs/>
                <w:color w:val="0070C0"/>
                <w:sz w:val="20"/>
                <w:szCs w:val="20"/>
              </w:rPr>
              <w:t xml:space="preserve"> </w:t>
            </w:r>
            <w:proofErr w:type="gramStart"/>
            <w:r w:rsidRPr="007B1BF4">
              <w:rPr>
                <w:iCs/>
                <w:color w:val="0070C0"/>
                <w:sz w:val="20"/>
                <w:szCs w:val="20"/>
              </w:rPr>
              <w:t xml:space="preserve">service-  </w:t>
            </w:r>
            <w:proofErr w:type="spellStart"/>
            <w:r w:rsidRPr="007B1BF4">
              <w:rPr>
                <w:iCs/>
                <w:color w:val="0070C0"/>
                <w:sz w:val="20"/>
                <w:szCs w:val="20"/>
              </w:rPr>
              <w:t>Guide</w:t>
            </w:r>
            <w:proofErr w:type="spellEnd"/>
            <w:proofErr w:type="gramEnd"/>
            <w:r w:rsidRPr="007B1BF4">
              <w:rPr>
                <w:iCs/>
                <w:color w:val="0070C0"/>
                <w:sz w:val="20"/>
                <w:szCs w:val="20"/>
              </w:rPr>
              <w:t xml:space="preserve"> </w:t>
            </w:r>
            <w:proofErr w:type="spellStart"/>
            <w:r w:rsidRPr="007B1BF4">
              <w:rPr>
                <w:iCs/>
                <w:color w:val="0070C0"/>
                <w:sz w:val="20"/>
                <w:szCs w:val="20"/>
              </w:rPr>
              <w:t>to</w:t>
            </w:r>
            <w:proofErr w:type="spellEnd"/>
            <w:r w:rsidRPr="007B1BF4">
              <w:rPr>
                <w:iCs/>
                <w:color w:val="0070C0"/>
                <w:sz w:val="20"/>
                <w:szCs w:val="20"/>
              </w:rPr>
              <w:t xml:space="preserve"> </w:t>
            </w:r>
            <w:proofErr w:type="spellStart"/>
            <w:r w:rsidRPr="007B1BF4">
              <w:rPr>
                <w:iCs/>
                <w:color w:val="0070C0"/>
                <w:sz w:val="20"/>
                <w:szCs w:val="20"/>
              </w:rPr>
              <w:t>the</w:t>
            </w:r>
            <w:proofErr w:type="spellEnd"/>
            <w:r w:rsidRPr="007B1BF4">
              <w:rPr>
                <w:iCs/>
                <w:color w:val="0070C0"/>
                <w:sz w:val="20"/>
                <w:szCs w:val="20"/>
              </w:rPr>
              <w:t xml:space="preserve"> </w:t>
            </w:r>
            <w:proofErr w:type="spellStart"/>
            <w:r w:rsidRPr="007B1BF4">
              <w:rPr>
                <w:iCs/>
                <w:color w:val="0070C0"/>
                <w:sz w:val="20"/>
                <w:szCs w:val="20"/>
              </w:rPr>
              <w:t>interpretation</w:t>
            </w:r>
            <w:proofErr w:type="spellEnd"/>
            <w:r w:rsidRPr="007B1BF4">
              <w:rPr>
                <w:iCs/>
                <w:color w:val="0070C0"/>
                <w:sz w:val="20"/>
                <w:szCs w:val="20"/>
              </w:rPr>
              <w:t xml:space="preserve"> of </w:t>
            </w:r>
            <w:proofErr w:type="spellStart"/>
            <w:r w:rsidRPr="007B1BF4">
              <w:rPr>
                <w:iCs/>
                <w:color w:val="0070C0"/>
                <w:sz w:val="20"/>
                <w:szCs w:val="20"/>
              </w:rPr>
              <w:t>dissolved</w:t>
            </w:r>
            <w:proofErr w:type="spellEnd"/>
            <w:r w:rsidRPr="007B1BF4">
              <w:rPr>
                <w:iCs/>
                <w:color w:val="0070C0"/>
                <w:sz w:val="20"/>
                <w:szCs w:val="20"/>
              </w:rPr>
              <w:t xml:space="preserve"> and free </w:t>
            </w:r>
            <w:proofErr w:type="spellStart"/>
            <w:r w:rsidRPr="007B1BF4">
              <w:rPr>
                <w:iCs/>
                <w:color w:val="0070C0"/>
                <w:sz w:val="20"/>
                <w:szCs w:val="20"/>
              </w:rPr>
              <w:t>gasas</w:t>
            </w:r>
            <w:proofErr w:type="spellEnd"/>
            <w:r w:rsidRPr="007B1BF4">
              <w:rPr>
                <w:iCs/>
                <w:color w:val="0070C0"/>
                <w:sz w:val="20"/>
                <w:szCs w:val="20"/>
              </w:rPr>
              <w:t xml:space="preserve"> </w:t>
            </w:r>
            <w:proofErr w:type="spellStart"/>
            <w:r w:rsidRPr="007B1BF4">
              <w:rPr>
                <w:iCs/>
                <w:color w:val="0070C0"/>
                <w:sz w:val="20"/>
                <w:szCs w:val="20"/>
              </w:rPr>
              <w:t>analysis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60542 </w:t>
            </w:r>
            <w:proofErr w:type="spellStart"/>
            <w:r w:rsidRPr="007B1BF4">
              <w:rPr>
                <w:iCs/>
                <w:color w:val="0070C0"/>
                <w:sz w:val="20"/>
                <w:szCs w:val="20"/>
              </w:rPr>
              <w:t>Application</w:t>
            </w:r>
            <w:proofErr w:type="spellEnd"/>
            <w:r w:rsidRPr="007B1BF4">
              <w:rPr>
                <w:iCs/>
                <w:color w:val="0070C0"/>
                <w:sz w:val="20"/>
                <w:szCs w:val="20"/>
              </w:rPr>
              <w:t xml:space="preserve"> </w:t>
            </w:r>
            <w:proofErr w:type="spellStart"/>
            <w:r w:rsidRPr="007B1BF4">
              <w:rPr>
                <w:iCs/>
                <w:color w:val="0070C0"/>
                <w:sz w:val="20"/>
                <w:szCs w:val="20"/>
              </w:rPr>
              <w:t>guide</w:t>
            </w:r>
            <w:proofErr w:type="spellEnd"/>
            <w:r w:rsidRPr="007B1BF4">
              <w:rPr>
                <w:iCs/>
                <w:color w:val="0070C0"/>
                <w:sz w:val="20"/>
                <w:szCs w:val="20"/>
              </w:rPr>
              <w:t xml:space="preserve"> </w:t>
            </w:r>
            <w:proofErr w:type="spellStart"/>
            <w:r w:rsidRPr="007B1BF4">
              <w:rPr>
                <w:iCs/>
                <w:color w:val="0070C0"/>
                <w:sz w:val="20"/>
                <w:szCs w:val="20"/>
              </w:rPr>
              <w:t>for</w:t>
            </w:r>
            <w:proofErr w:type="spellEnd"/>
            <w:r w:rsidRPr="007B1BF4">
              <w:rPr>
                <w:iCs/>
                <w:color w:val="0070C0"/>
                <w:sz w:val="20"/>
                <w:szCs w:val="20"/>
              </w:rPr>
              <w:t xml:space="preserve"> </w:t>
            </w:r>
            <w:proofErr w:type="spellStart"/>
            <w:r w:rsidRPr="007B1BF4">
              <w:rPr>
                <w:iCs/>
                <w:color w:val="0070C0"/>
                <w:sz w:val="20"/>
                <w:szCs w:val="20"/>
              </w:rPr>
              <w:t>on-load</w:t>
            </w:r>
            <w:proofErr w:type="spellEnd"/>
            <w:r w:rsidRPr="007B1BF4">
              <w:rPr>
                <w:iCs/>
                <w:color w:val="0070C0"/>
                <w:sz w:val="20"/>
                <w:szCs w:val="20"/>
              </w:rPr>
              <w:t xml:space="preserve"> </w:t>
            </w:r>
            <w:proofErr w:type="spellStart"/>
            <w:r w:rsidRPr="007B1BF4">
              <w:rPr>
                <w:iCs/>
                <w:color w:val="0070C0"/>
                <w:sz w:val="20"/>
                <w:szCs w:val="20"/>
              </w:rPr>
              <w:t>tap-changers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/TR 60616 Terminal and tapping </w:t>
            </w:r>
            <w:proofErr w:type="spellStart"/>
            <w:r w:rsidRPr="007B1BF4">
              <w:rPr>
                <w:iCs/>
                <w:color w:val="0070C0"/>
                <w:sz w:val="20"/>
                <w:szCs w:val="20"/>
              </w:rPr>
              <w:t>markings</w:t>
            </w:r>
            <w:proofErr w:type="spellEnd"/>
            <w:r w:rsidRPr="007B1BF4">
              <w:rPr>
                <w:iCs/>
                <w:color w:val="0070C0"/>
                <w:sz w:val="20"/>
                <w:szCs w:val="20"/>
              </w:rPr>
              <w:t xml:space="preserve"> </w:t>
            </w:r>
            <w:proofErr w:type="spellStart"/>
            <w:r w:rsidRPr="007B1BF4">
              <w:rPr>
                <w:iCs/>
                <w:color w:val="0070C0"/>
                <w:sz w:val="20"/>
                <w:szCs w:val="20"/>
              </w:rPr>
              <w:t>for</w:t>
            </w:r>
            <w:proofErr w:type="spellEnd"/>
            <w:r w:rsidRPr="007B1BF4">
              <w:rPr>
                <w:iCs/>
                <w:color w:val="0070C0"/>
                <w:sz w:val="20"/>
                <w:szCs w:val="20"/>
              </w:rPr>
              <w:t xml:space="preserve"> </w:t>
            </w:r>
            <w:proofErr w:type="spellStart"/>
            <w:r w:rsidRPr="007B1BF4">
              <w:rPr>
                <w:iCs/>
                <w:color w:val="0070C0"/>
                <w:sz w:val="20"/>
                <w:szCs w:val="20"/>
              </w:rPr>
              <w:t>power</w:t>
            </w:r>
            <w:proofErr w:type="spellEnd"/>
            <w:r w:rsidRPr="007B1BF4">
              <w:rPr>
                <w:iCs/>
                <w:color w:val="0070C0"/>
                <w:sz w:val="20"/>
                <w:szCs w:val="20"/>
              </w:rPr>
              <w:t xml:space="preserve"> </w:t>
            </w:r>
            <w:proofErr w:type="spellStart"/>
            <w:r w:rsidRPr="007B1BF4">
              <w:rPr>
                <w:iCs/>
                <w:color w:val="0070C0"/>
                <w:sz w:val="20"/>
                <w:szCs w:val="20"/>
              </w:rPr>
              <w:t>transformers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60722 </w:t>
            </w:r>
            <w:proofErr w:type="spellStart"/>
            <w:r w:rsidRPr="007B1BF4">
              <w:rPr>
                <w:iCs/>
                <w:color w:val="0070C0"/>
                <w:sz w:val="20"/>
                <w:szCs w:val="20"/>
              </w:rPr>
              <w:t>Guide</w:t>
            </w:r>
            <w:proofErr w:type="spellEnd"/>
            <w:r w:rsidRPr="007B1BF4">
              <w:rPr>
                <w:iCs/>
                <w:color w:val="0070C0"/>
                <w:sz w:val="20"/>
                <w:szCs w:val="20"/>
              </w:rPr>
              <w:t xml:space="preserve"> </w:t>
            </w:r>
            <w:proofErr w:type="spellStart"/>
            <w:r w:rsidRPr="007B1BF4">
              <w:rPr>
                <w:iCs/>
                <w:color w:val="0070C0"/>
                <w:sz w:val="20"/>
                <w:szCs w:val="20"/>
              </w:rPr>
              <w:t>to</w:t>
            </w:r>
            <w:proofErr w:type="spellEnd"/>
            <w:r w:rsidRPr="007B1BF4">
              <w:rPr>
                <w:iCs/>
                <w:color w:val="0070C0"/>
                <w:sz w:val="20"/>
                <w:szCs w:val="20"/>
              </w:rPr>
              <w:t xml:space="preserve"> </w:t>
            </w:r>
            <w:proofErr w:type="spellStart"/>
            <w:r w:rsidRPr="007B1BF4">
              <w:rPr>
                <w:iCs/>
                <w:color w:val="0070C0"/>
                <w:sz w:val="20"/>
                <w:szCs w:val="20"/>
              </w:rPr>
              <w:t>the</w:t>
            </w:r>
            <w:proofErr w:type="spellEnd"/>
            <w:r w:rsidRPr="007B1BF4">
              <w:rPr>
                <w:iCs/>
                <w:color w:val="0070C0"/>
                <w:sz w:val="20"/>
                <w:szCs w:val="20"/>
              </w:rPr>
              <w:t xml:space="preserve"> </w:t>
            </w:r>
            <w:proofErr w:type="spellStart"/>
            <w:r w:rsidRPr="007B1BF4">
              <w:rPr>
                <w:iCs/>
                <w:color w:val="0070C0"/>
                <w:sz w:val="20"/>
                <w:szCs w:val="20"/>
              </w:rPr>
              <w:t>lightning</w:t>
            </w:r>
            <w:proofErr w:type="spellEnd"/>
            <w:r w:rsidRPr="007B1BF4">
              <w:rPr>
                <w:iCs/>
                <w:color w:val="0070C0"/>
                <w:sz w:val="20"/>
                <w:szCs w:val="20"/>
              </w:rPr>
              <w:t xml:space="preserve"> </w:t>
            </w:r>
            <w:proofErr w:type="spellStart"/>
            <w:r w:rsidRPr="007B1BF4">
              <w:rPr>
                <w:iCs/>
                <w:color w:val="0070C0"/>
                <w:sz w:val="20"/>
                <w:szCs w:val="20"/>
              </w:rPr>
              <w:t>impulse</w:t>
            </w:r>
            <w:proofErr w:type="spellEnd"/>
            <w:r w:rsidRPr="007B1BF4">
              <w:rPr>
                <w:iCs/>
                <w:color w:val="0070C0"/>
                <w:sz w:val="20"/>
                <w:szCs w:val="20"/>
              </w:rPr>
              <w:t xml:space="preserve"> and </w:t>
            </w:r>
            <w:proofErr w:type="spellStart"/>
            <w:r w:rsidRPr="007B1BF4">
              <w:rPr>
                <w:iCs/>
                <w:color w:val="0070C0"/>
                <w:sz w:val="20"/>
                <w:szCs w:val="20"/>
              </w:rPr>
              <w:t>switching</w:t>
            </w:r>
            <w:proofErr w:type="spellEnd"/>
            <w:r w:rsidRPr="007B1BF4">
              <w:rPr>
                <w:iCs/>
                <w:color w:val="0070C0"/>
                <w:sz w:val="20"/>
                <w:szCs w:val="20"/>
              </w:rPr>
              <w:t xml:space="preserve"> </w:t>
            </w:r>
            <w:proofErr w:type="spellStart"/>
            <w:r w:rsidRPr="007B1BF4">
              <w:rPr>
                <w:iCs/>
                <w:color w:val="0070C0"/>
                <w:sz w:val="20"/>
                <w:szCs w:val="20"/>
              </w:rPr>
              <w:t>impulse</w:t>
            </w:r>
            <w:proofErr w:type="spellEnd"/>
            <w:r w:rsidRPr="007B1BF4">
              <w:rPr>
                <w:iCs/>
                <w:color w:val="0070C0"/>
                <w:sz w:val="20"/>
                <w:szCs w:val="20"/>
              </w:rPr>
              <w:t xml:space="preserve"> testing of </w:t>
            </w:r>
            <w:proofErr w:type="spellStart"/>
            <w:r w:rsidRPr="007B1BF4">
              <w:rPr>
                <w:iCs/>
                <w:color w:val="0070C0"/>
                <w:sz w:val="20"/>
                <w:szCs w:val="20"/>
              </w:rPr>
              <w:t>power</w:t>
            </w:r>
            <w:proofErr w:type="spellEnd"/>
            <w:r w:rsidRPr="007B1BF4">
              <w:rPr>
                <w:iCs/>
                <w:color w:val="0070C0"/>
                <w:sz w:val="20"/>
                <w:szCs w:val="20"/>
              </w:rPr>
              <w:t xml:space="preserve"> </w:t>
            </w:r>
            <w:proofErr w:type="spellStart"/>
            <w:r w:rsidRPr="007B1BF4">
              <w:rPr>
                <w:iCs/>
                <w:color w:val="0070C0"/>
                <w:sz w:val="20"/>
                <w:szCs w:val="20"/>
              </w:rPr>
              <w:t>transformers</w:t>
            </w:r>
            <w:proofErr w:type="spellEnd"/>
            <w:r w:rsidRPr="007B1BF4">
              <w:rPr>
                <w:iCs/>
                <w:color w:val="0070C0"/>
                <w:sz w:val="20"/>
                <w:szCs w:val="20"/>
              </w:rPr>
              <w:t xml:space="preserve"> and </w:t>
            </w:r>
            <w:proofErr w:type="spellStart"/>
            <w:r w:rsidRPr="007B1BF4">
              <w:rPr>
                <w:iCs/>
                <w:color w:val="0070C0"/>
                <w:sz w:val="20"/>
                <w:szCs w:val="20"/>
              </w:rPr>
              <w:t>reactors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61619 </w:t>
            </w:r>
            <w:proofErr w:type="spellStart"/>
            <w:r w:rsidRPr="007B1BF4">
              <w:rPr>
                <w:iCs/>
                <w:color w:val="0070C0"/>
                <w:sz w:val="20"/>
                <w:szCs w:val="20"/>
              </w:rPr>
              <w:t>Insulating</w:t>
            </w:r>
            <w:proofErr w:type="spellEnd"/>
            <w:r w:rsidRPr="007B1BF4">
              <w:rPr>
                <w:iCs/>
                <w:color w:val="0070C0"/>
                <w:sz w:val="20"/>
                <w:szCs w:val="20"/>
              </w:rPr>
              <w:t xml:space="preserve"> </w:t>
            </w:r>
            <w:proofErr w:type="spellStart"/>
            <w:r w:rsidRPr="007B1BF4">
              <w:rPr>
                <w:iCs/>
                <w:color w:val="0070C0"/>
                <w:sz w:val="20"/>
                <w:szCs w:val="20"/>
              </w:rPr>
              <w:t>liquids</w:t>
            </w:r>
            <w:proofErr w:type="spellEnd"/>
            <w:r w:rsidRPr="007B1BF4">
              <w:rPr>
                <w:iCs/>
                <w:color w:val="0070C0"/>
                <w:sz w:val="20"/>
                <w:szCs w:val="20"/>
              </w:rPr>
              <w:t xml:space="preserve"> – </w:t>
            </w:r>
            <w:proofErr w:type="spellStart"/>
            <w:r w:rsidRPr="007B1BF4">
              <w:rPr>
                <w:iCs/>
                <w:color w:val="0070C0"/>
                <w:sz w:val="20"/>
                <w:szCs w:val="20"/>
              </w:rPr>
              <w:t>Contamination</w:t>
            </w:r>
            <w:proofErr w:type="spellEnd"/>
            <w:r w:rsidRPr="007B1BF4">
              <w:rPr>
                <w:iCs/>
                <w:color w:val="0070C0"/>
                <w:sz w:val="20"/>
                <w:szCs w:val="20"/>
              </w:rPr>
              <w:t xml:space="preserve"> </w:t>
            </w:r>
            <w:proofErr w:type="spellStart"/>
            <w:r w:rsidRPr="007B1BF4">
              <w:rPr>
                <w:iCs/>
                <w:color w:val="0070C0"/>
                <w:sz w:val="20"/>
                <w:szCs w:val="20"/>
              </w:rPr>
              <w:t>by</w:t>
            </w:r>
            <w:proofErr w:type="spellEnd"/>
            <w:r w:rsidRPr="007B1BF4">
              <w:rPr>
                <w:iCs/>
                <w:color w:val="0070C0"/>
                <w:sz w:val="20"/>
                <w:szCs w:val="20"/>
              </w:rPr>
              <w:t xml:space="preserve"> </w:t>
            </w:r>
            <w:proofErr w:type="spellStart"/>
            <w:r w:rsidRPr="007B1BF4">
              <w:rPr>
                <w:iCs/>
                <w:color w:val="0070C0"/>
                <w:sz w:val="20"/>
                <w:szCs w:val="20"/>
              </w:rPr>
              <w:t>polychlorinated</w:t>
            </w:r>
            <w:proofErr w:type="spellEnd"/>
            <w:r w:rsidRPr="007B1BF4">
              <w:rPr>
                <w:iCs/>
                <w:color w:val="0070C0"/>
                <w:sz w:val="20"/>
                <w:szCs w:val="20"/>
              </w:rPr>
              <w:t xml:space="preserve"> </w:t>
            </w:r>
            <w:proofErr w:type="spellStart"/>
            <w:r w:rsidRPr="007B1BF4">
              <w:rPr>
                <w:iCs/>
                <w:color w:val="0070C0"/>
                <w:sz w:val="20"/>
                <w:szCs w:val="20"/>
              </w:rPr>
              <w:t>biphenyls</w:t>
            </w:r>
            <w:proofErr w:type="spellEnd"/>
            <w:r w:rsidRPr="007B1BF4">
              <w:rPr>
                <w:iCs/>
                <w:color w:val="0070C0"/>
                <w:sz w:val="20"/>
                <w:szCs w:val="20"/>
              </w:rPr>
              <w:t xml:space="preserve"> (</w:t>
            </w:r>
            <w:proofErr w:type="spellStart"/>
            <w:r w:rsidRPr="007B1BF4">
              <w:rPr>
                <w:iCs/>
                <w:color w:val="0070C0"/>
                <w:sz w:val="20"/>
                <w:szCs w:val="20"/>
              </w:rPr>
              <w:t>PCBs</w:t>
            </w:r>
            <w:proofErr w:type="spellEnd"/>
            <w:r w:rsidRPr="007B1BF4">
              <w:rPr>
                <w:iCs/>
                <w:color w:val="0070C0"/>
                <w:sz w:val="20"/>
                <w:szCs w:val="20"/>
              </w:rPr>
              <w:t xml:space="preserve">) – </w:t>
            </w:r>
            <w:proofErr w:type="spellStart"/>
            <w:r w:rsidRPr="007B1BF4">
              <w:rPr>
                <w:iCs/>
                <w:color w:val="0070C0"/>
                <w:sz w:val="20"/>
                <w:szCs w:val="20"/>
              </w:rPr>
              <w:t>Method</w:t>
            </w:r>
            <w:proofErr w:type="spellEnd"/>
            <w:r w:rsidRPr="007B1BF4">
              <w:rPr>
                <w:iCs/>
                <w:color w:val="0070C0"/>
                <w:sz w:val="20"/>
                <w:szCs w:val="20"/>
              </w:rPr>
              <w:t xml:space="preserve"> of </w:t>
            </w:r>
            <w:proofErr w:type="spellStart"/>
            <w:r w:rsidRPr="007B1BF4">
              <w:rPr>
                <w:iCs/>
                <w:color w:val="0070C0"/>
                <w:sz w:val="20"/>
                <w:szCs w:val="20"/>
              </w:rPr>
              <w:t>determination</w:t>
            </w:r>
            <w:proofErr w:type="spellEnd"/>
            <w:r w:rsidRPr="007B1BF4">
              <w:rPr>
                <w:iCs/>
                <w:color w:val="0070C0"/>
                <w:sz w:val="20"/>
                <w:szCs w:val="20"/>
              </w:rPr>
              <w:t xml:space="preserve"> </w:t>
            </w:r>
            <w:proofErr w:type="spellStart"/>
            <w:r w:rsidRPr="007B1BF4">
              <w:rPr>
                <w:iCs/>
                <w:color w:val="0070C0"/>
                <w:sz w:val="20"/>
                <w:szCs w:val="20"/>
              </w:rPr>
              <w:t>by</w:t>
            </w:r>
            <w:proofErr w:type="spellEnd"/>
            <w:r w:rsidRPr="007B1BF4">
              <w:rPr>
                <w:iCs/>
                <w:color w:val="0070C0"/>
                <w:sz w:val="20"/>
                <w:szCs w:val="20"/>
              </w:rPr>
              <w:t xml:space="preserve"> </w:t>
            </w:r>
            <w:proofErr w:type="spellStart"/>
            <w:r w:rsidRPr="007B1BF4">
              <w:rPr>
                <w:iCs/>
                <w:color w:val="0070C0"/>
                <w:sz w:val="20"/>
                <w:szCs w:val="20"/>
              </w:rPr>
              <w:t>capillary</w:t>
            </w:r>
            <w:proofErr w:type="spellEnd"/>
            <w:r w:rsidRPr="007B1BF4">
              <w:rPr>
                <w:iCs/>
                <w:color w:val="0070C0"/>
                <w:sz w:val="20"/>
                <w:szCs w:val="20"/>
              </w:rPr>
              <w:t xml:space="preserve"> </w:t>
            </w:r>
            <w:proofErr w:type="spellStart"/>
            <w:r w:rsidRPr="007B1BF4">
              <w:rPr>
                <w:iCs/>
                <w:color w:val="0070C0"/>
                <w:sz w:val="20"/>
                <w:szCs w:val="20"/>
              </w:rPr>
              <w:t>column</w:t>
            </w:r>
            <w:proofErr w:type="spellEnd"/>
            <w:r w:rsidRPr="007B1BF4">
              <w:rPr>
                <w:iCs/>
                <w:color w:val="0070C0"/>
                <w:sz w:val="20"/>
                <w:szCs w:val="20"/>
              </w:rPr>
              <w:t xml:space="preserve"> </w:t>
            </w:r>
            <w:proofErr w:type="spellStart"/>
            <w:r w:rsidRPr="007B1BF4">
              <w:rPr>
                <w:iCs/>
                <w:color w:val="0070C0"/>
                <w:sz w:val="20"/>
                <w:szCs w:val="20"/>
              </w:rPr>
              <w:t>gas</w:t>
            </w:r>
            <w:proofErr w:type="spellEnd"/>
            <w:r w:rsidRPr="007B1BF4">
              <w:rPr>
                <w:iCs/>
                <w:color w:val="0070C0"/>
                <w:sz w:val="20"/>
                <w:szCs w:val="20"/>
              </w:rPr>
              <w:t xml:space="preserve"> </w:t>
            </w:r>
            <w:proofErr w:type="spellStart"/>
            <w:r w:rsidRPr="007B1BF4">
              <w:rPr>
                <w:iCs/>
                <w:color w:val="0070C0"/>
                <w:sz w:val="20"/>
                <w:szCs w:val="20"/>
              </w:rPr>
              <w:t>chromatography</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60354 </w:t>
            </w:r>
            <w:proofErr w:type="spellStart"/>
            <w:r w:rsidRPr="007B1BF4">
              <w:rPr>
                <w:iCs/>
                <w:color w:val="0070C0"/>
                <w:sz w:val="20"/>
                <w:szCs w:val="20"/>
              </w:rPr>
              <w:t>Loading</w:t>
            </w:r>
            <w:proofErr w:type="spellEnd"/>
            <w:r w:rsidRPr="007B1BF4">
              <w:rPr>
                <w:iCs/>
                <w:color w:val="0070C0"/>
                <w:sz w:val="20"/>
                <w:szCs w:val="20"/>
              </w:rPr>
              <w:t xml:space="preserve"> </w:t>
            </w:r>
            <w:proofErr w:type="spellStart"/>
            <w:r w:rsidRPr="007B1BF4">
              <w:rPr>
                <w:iCs/>
                <w:color w:val="0070C0"/>
                <w:sz w:val="20"/>
                <w:szCs w:val="20"/>
              </w:rPr>
              <w:t>guide</w:t>
            </w:r>
            <w:proofErr w:type="spellEnd"/>
            <w:r w:rsidRPr="007B1BF4">
              <w:rPr>
                <w:iCs/>
                <w:color w:val="0070C0"/>
                <w:sz w:val="20"/>
                <w:szCs w:val="20"/>
              </w:rPr>
              <w:t xml:space="preserve"> </w:t>
            </w:r>
            <w:proofErr w:type="spellStart"/>
            <w:r w:rsidRPr="007B1BF4">
              <w:rPr>
                <w:iCs/>
                <w:color w:val="0070C0"/>
                <w:sz w:val="20"/>
                <w:szCs w:val="20"/>
              </w:rPr>
              <w:t>for</w:t>
            </w:r>
            <w:proofErr w:type="spellEnd"/>
            <w:r w:rsidRPr="007B1BF4">
              <w:rPr>
                <w:iCs/>
                <w:color w:val="0070C0"/>
                <w:sz w:val="20"/>
                <w:szCs w:val="20"/>
              </w:rPr>
              <w:t xml:space="preserve"> </w:t>
            </w:r>
            <w:proofErr w:type="spellStart"/>
            <w:proofErr w:type="gramStart"/>
            <w:r w:rsidRPr="007B1BF4">
              <w:rPr>
                <w:iCs/>
                <w:color w:val="0070C0"/>
                <w:sz w:val="20"/>
                <w:szCs w:val="20"/>
              </w:rPr>
              <w:t>oil-immersed</w:t>
            </w:r>
            <w:proofErr w:type="spellEnd"/>
            <w:r w:rsidRPr="007B1BF4">
              <w:rPr>
                <w:iCs/>
                <w:color w:val="0070C0"/>
                <w:sz w:val="20"/>
                <w:szCs w:val="20"/>
              </w:rPr>
              <w:t xml:space="preserve">  </w:t>
            </w:r>
            <w:proofErr w:type="spellStart"/>
            <w:r w:rsidRPr="007B1BF4">
              <w:rPr>
                <w:iCs/>
                <w:color w:val="0070C0"/>
                <w:sz w:val="20"/>
                <w:szCs w:val="20"/>
              </w:rPr>
              <w:t>power</w:t>
            </w:r>
            <w:proofErr w:type="spellEnd"/>
            <w:proofErr w:type="gramEnd"/>
            <w:r w:rsidRPr="007B1BF4">
              <w:rPr>
                <w:iCs/>
                <w:color w:val="0070C0"/>
                <w:sz w:val="20"/>
                <w:szCs w:val="20"/>
              </w:rPr>
              <w:t xml:space="preserve"> </w:t>
            </w:r>
            <w:proofErr w:type="spellStart"/>
            <w:r w:rsidRPr="007B1BF4">
              <w:rPr>
                <w:iCs/>
                <w:color w:val="0070C0"/>
                <w:sz w:val="20"/>
                <w:szCs w:val="20"/>
              </w:rPr>
              <w:t>transformers</w:t>
            </w:r>
            <w:proofErr w:type="spellEnd"/>
          </w:p>
          <w:p w:rsidR="007B1BF4" w:rsidRPr="007B1BF4" w:rsidRDefault="007B1BF4" w:rsidP="007B1BF4">
            <w:pPr>
              <w:ind w:left="56" w:right="56"/>
              <w:rPr>
                <w:iCs/>
                <w:color w:val="0070C0"/>
                <w:sz w:val="20"/>
                <w:szCs w:val="20"/>
              </w:rPr>
            </w:pPr>
            <w:r w:rsidRPr="007B1BF4">
              <w:rPr>
                <w:iCs/>
                <w:color w:val="0070C0"/>
                <w:sz w:val="20"/>
                <w:szCs w:val="20"/>
              </w:rPr>
              <w:t xml:space="preserve">IEC 60616 Terminal and tapping </w:t>
            </w:r>
            <w:proofErr w:type="spellStart"/>
            <w:r w:rsidRPr="007B1BF4">
              <w:rPr>
                <w:iCs/>
                <w:color w:val="0070C0"/>
                <w:sz w:val="20"/>
                <w:szCs w:val="20"/>
              </w:rPr>
              <w:t>markings</w:t>
            </w:r>
            <w:proofErr w:type="spellEnd"/>
            <w:r w:rsidRPr="007B1BF4">
              <w:rPr>
                <w:iCs/>
                <w:color w:val="0070C0"/>
                <w:sz w:val="20"/>
                <w:szCs w:val="20"/>
              </w:rPr>
              <w:t xml:space="preserve"> </w:t>
            </w:r>
            <w:proofErr w:type="spellStart"/>
            <w:r w:rsidRPr="007B1BF4">
              <w:rPr>
                <w:iCs/>
                <w:color w:val="0070C0"/>
                <w:sz w:val="20"/>
                <w:szCs w:val="20"/>
              </w:rPr>
              <w:t>for</w:t>
            </w:r>
            <w:proofErr w:type="spellEnd"/>
            <w:r w:rsidRPr="007B1BF4">
              <w:rPr>
                <w:iCs/>
                <w:color w:val="0070C0"/>
                <w:sz w:val="20"/>
                <w:szCs w:val="20"/>
              </w:rPr>
              <w:t xml:space="preserve"> </w:t>
            </w:r>
            <w:proofErr w:type="spellStart"/>
            <w:r w:rsidRPr="007B1BF4">
              <w:rPr>
                <w:iCs/>
                <w:color w:val="0070C0"/>
                <w:sz w:val="20"/>
                <w:szCs w:val="20"/>
              </w:rPr>
              <w:t>power</w:t>
            </w:r>
            <w:proofErr w:type="spellEnd"/>
            <w:r w:rsidRPr="007B1BF4">
              <w:rPr>
                <w:iCs/>
                <w:color w:val="0070C0"/>
                <w:sz w:val="20"/>
                <w:szCs w:val="20"/>
              </w:rPr>
              <w:t xml:space="preserve"> </w:t>
            </w:r>
            <w:proofErr w:type="spellStart"/>
            <w:r w:rsidRPr="007B1BF4">
              <w:rPr>
                <w:iCs/>
                <w:color w:val="0070C0"/>
                <w:sz w:val="20"/>
                <w:szCs w:val="20"/>
              </w:rPr>
              <w:t>transformers</w:t>
            </w:r>
            <w:proofErr w:type="spellEnd"/>
          </w:p>
          <w:p w:rsidR="007B1BF4" w:rsidRPr="007B1BF4" w:rsidRDefault="007B1BF4" w:rsidP="007B1BF4">
            <w:pPr>
              <w:ind w:left="56" w:right="56"/>
              <w:rPr>
                <w:iCs/>
                <w:color w:val="0070C0"/>
                <w:sz w:val="20"/>
                <w:szCs w:val="20"/>
              </w:rPr>
            </w:pPr>
            <w:r w:rsidRPr="007B1BF4">
              <w:rPr>
                <w:iCs/>
                <w:color w:val="0070C0"/>
                <w:sz w:val="20"/>
                <w:szCs w:val="20"/>
              </w:rPr>
              <w:t>A nemzeti szabványok élet- és egészségvédelmet, vagyonbiztonságot érintő előírásai elsődlegesek.</w:t>
            </w:r>
          </w:p>
          <w:p w:rsidR="007B1BF4" w:rsidRPr="007B1BF4" w:rsidRDefault="007B1BF4" w:rsidP="007B1BF4">
            <w:pPr>
              <w:ind w:left="56" w:right="56"/>
              <w:rPr>
                <w:iCs/>
                <w:color w:val="0070C0"/>
                <w:sz w:val="20"/>
                <w:szCs w:val="20"/>
              </w:rPr>
            </w:pPr>
            <w:r w:rsidRPr="007B1BF4">
              <w:rPr>
                <w:iCs/>
                <w:color w:val="0070C0"/>
                <w:sz w:val="20"/>
                <w:szCs w:val="20"/>
              </w:rPr>
              <w:t>Egyéb előírásokat tekintve elsődlegesek az MSZ EN, MSZ IEC, MSZ HD, MSZ szabványok, ezek hiányában az IEC előírások a mértékadóak.</w:t>
            </w:r>
          </w:p>
          <w:p w:rsidR="007B1BF4" w:rsidRPr="007B1BF4" w:rsidRDefault="007B1BF4" w:rsidP="007B1BF4">
            <w:pPr>
              <w:ind w:left="56" w:right="56"/>
              <w:rPr>
                <w:iCs/>
                <w:color w:val="0070C0"/>
                <w:sz w:val="20"/>
                <w:szCs w:val="20"/>
              </w:rPr>
            </w:pPr>
            <w:r w:rsidRPr="007B1BF4">
              <w:rPr>
                <w:iCs/>
                <w:color w:val="0070C0"/>
                <w:sz w:val="20"/>
                <w:szCs w:val="20"/>
              </w:rPr>
              <w:t>M2.) VHR 321 21. § (1) bekezdés a) pontja alapján részvételre jelentkező alkalmatlan, amennyiben a részvételi felhívás feladását (lásd jelen felhívás VI.5.) pontját) megelőző három évben a jelen részvételi felhívásban szereplő termékre vonatkozó szállításaira vonatkozó referenciája nem éri el a 41.250.000,</w:t>
            </w:r>
            <w:proofErr w:type="spellStart"/>
            <w:r w:rsidRPr="007B1BF4">
              <w:rPr>
                <w:iCs/>
                <w:color w:val="0070C0"/>
                <w:sz w:val="20"/>
                <w:szCs w:val="20"/>
              </w:rPr>
              <w:t>-Ft</w:t>
            </w:r>
            <w:proofErr w:type="spellEnd"/>
            <w:r w:rsidRPr="007B1BF4">
              <w:rPr>
                <w:iCs/>
                <w:color w:val="0070C0"/>
                <w:sz w:val="20"/>
                <w:szCs w:val="20"/>
              </w:rPr>
              <w:t xml:space="preserve"> összeget.</w:t>
            </w:r>
          </w:p>
          <w:p w:rsidR="007B1BF4" w:rsidRPr="007B1BF4" w:rsidRDefault="007B1BF4" w:rsidP="007B1BF4">
            <w:pPr>
              <w:ind w:left="56" w:right="56"/>
              <w:rPr>
                <w:iCs/>
                <w:color w:val="0070C0"/>
                <w:sz w:val="20"/>
                <w:szCs w:val="20"/>
              </w:rPr>
            </w:pPr>
            <w:r w:rsidRPr="007B1BF4">
              <w:rPr>
                <w:iCs/>
                <w:color w:val="0070C0"/>
                <w:sz w:val="20"/>
                <w:szCs w:val="20"/>
              </w:rPr>
              <w:t>Az igazolási módok felsorolása és rövid leírása:</w:t>
            </w:r>
          </w:p>
          <w:p w:rsidR="007B1BF4" w:rsidRPr="007B1BF4" w:rsidRDefault="007B1BF4" w:rsidP="007B1BF4">
            <w:pPr>
              <w:ind w:left="56" w:right="56"/>
              <w:rPr>
                <w:iCs/>
                <w:color w:val="0070C0"/>
                <w:sz w:val="20"/>
                <w:szCs w:val="20"/>
              </w:rPr>
            </w:pPr>
            <w:r w:rsidRPr="007B1BF4">
              <w:rPr>
                <w:iCs/>
                <w:color w:val="0070C0"/>
                <w:sz w:val="20"/>
                <w:szCs w:val="20"/>
              </w:rPr>
              <w:t xml:space="preserve">M1.) Részvételre jelentkező egyszerű nyilatkozzon, hogy a közbeszerzés tárgya szerinti termékek megfelelnek a szabványoknak. VHR 321 21.§ (1) </w:t>
            </w:r>
            <w:proofErr w:type="spellStart"/>
            <w:r w:rsidRPr="007B1BF4">
              <w:rPr>
                <w:iCs/>
                <w:color w:val="0070C0"/>
                <w:sz w:val="20"/>
                <w:szCs w:val="20"/>
              </w:rPr>
              <w:t>bek</w:t>
            </w:r>
            <w:proofErr w:type="spellEnd"/>
            <w:r w:rsidRPr="007B1BF4">
              <w:rPr>
                <w:iCs/>
                <w:color w:val="0070C0"/>
                <w:sz w:val="20"/>
                <w:szCs w:val="20"/>
              </w:rPr>
              <w:t xml:space="preserve">. i), VHR 307 4. § (4) </w:t>
            </w:r>
            <w:proofErr w:type="spellStart"/>
            <w:r w:rsidRPr="007B1BF4">
              <w:rPr>
                <w:iCs/>
                <w:color w:val="0070C0"/>
                <w:sz w:val="20"/>
                <w:szCs w:val="20"/>
              </w:rPr>
              <w:t>bek</w:t>
            </w:r>
            <w:proofErr w:type="spellEnd"/>
            <w:r w:rsidRPr="007B1BF4">
              <w:rPr>
                <w:iCs/>
                <w:color w:val="0070C0"/>
                <w:sz w:val="20"/>
                <w:szCs w:val="20"/>
              </w:rPr>
              <w:t>.</w:t>
            </w:r>
          </w:p>
          <w:p w:rsidR="007B1BF4" w:rsidRPr="007B1BF4" w:rsidRDefault="007B1BF4" w:rsidP="007B1BF4">
            <w:pPr>
              <w:ind w:left="56" w:right="56"/>
              <w:rPr>
                <w:iCs/>
                <w:color w:val="0070C0"/>
                <w:sz w:val="20"/>
                <w:szCs w:val="20"/>
              </w:rPr>
            </w:pPr>
            <w:r w:rsidRPr="007B1BF4">
              <w:rPr>
                <w:iCs/>
                <w:color w:val="0070C0"/>
                <w:sz w:val="20"/>
                <w:szCs w:val="20"/>
              </w:rPr>
              <w:t>M2.) Részvételre jelentkező egyszerű nyilatkozatban nyilatkozzon a legjelentősebb szállításairól. (leírás, összegek, dátumok, megrendelők). (VHR 321 23. §)</w:t>
            </w:r>
          </w:p>
          <w:p w:rsidR="007B1BF4" w:rsidRPr="007B1BF4" w:rsidRDefault="007B1BF4" w:rsidP="007B1BF4">
            <w:pPr>
              <w:ind w:left="56" w:right="56"/>
              <w:rPr>
                <w:b/>
                <w:iCs/>
                <w:color w:val="0070C0"/>
                <w:sz w:val="20"/>
                <w:szCs w:val="20"/>
              </w:rPr>
            </w:pPr>
          </w:p>
          <w:p w:rsidR="00D34343" w:rsidRDefault="00D34343" w:rsidP="00D34343">
            <w:pPr>
              <w:ind w:left="56" w:right="56"/>
              <w:rPr>
                <w:b/>
                <w:bCs/>
                <w:sz w:val="20"/>
                <w:szCs w:val="20"/>
              </w:rPr>
            </w:pP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lastRenderedPageBreak/>
              <w:t xml:space="preserve"> </w:t>
            </w:r>
            <w:r>
              <w:rPr>
                <w:b/>
                <w:bCs/>
                <w:sz w:val="20"/>
                <w:szCs w:val="20"/>
              </w:rPr>
              <w:t>IV.1.2) Fenntartott szerződésekre vonatkozó információk</w:t>
            </w:r>
            <w:r>
              <w:rPr>
                <w:sz w:val="20"/>
                <w:szCs w:val="20"/>
              </w:rPr>
              <w:t>2</w:t>
            </w:r>
            <w:r>
              <w:rPr>
                <w:sz w:val="20"/>
                <w:szCs w:val="20"/>
              </w:rPr>
              <w:br/>
              <w:t xml:space="preserve">□ </w:t>
            </w:r>
            <w:proofErr w:type="gramStart"/>
            <w:r>
              <w:rPr>
                <w:sz w:val="20"/>
                <w:szCs w:val="20"/>
              </w:rPr>
              <w:t>A</w:t>
            </w:r>
            <w:proofErr w:type="gramEnd"/>
            <w:r>
              <w:rPr>
                <w:sz w:val="20"/>
                <w:szCs w:val="20"/>
              </w:rPr>
              <w:t xml:space="preserve"> szerződés a Kbt. 114. § (11) bekezdése szerint fenntartott</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b/>
                <w:bCs/>
                <w:sz w:val="20"/>
                <w:szCs w:val="20"/>
              </w:rPr>
            </w:pPr>
            <w:r>
              <w:rPr>
                <w:sz w:val="20"/>
                <w:szCs w:val="20"/>
              </w:rPr>
              <w:t xml:space="preserve"> </w:t>
            </w:r>
            <w:r>
              <w:rPr>
                <w:b/>
                <w:bCs/>
                <w:sz w:val="20"/>
                <w:szCs w:val="20"/>
              </w:rPr>
              <w:t xml:space="preserve">IV.1.3) </w:t>
            </w:r>
            <w:proofErr w:type="gramStart"/>
            <w:r>
              <w:rPr>
                <w:b/>
                <w:bCs/>
                <w:sz w:val="20"/>
                <w:szCs w:val="20"/>
              </w:rPr>
              <w:t>A</w:t>
            </w:r>
            <w:proofErr w:type="gramEnd"/>
            <w:r>
              <w:rPr>
                <w:b/>
                <w:bCs/>
                <w:sz w:val="20"/>
                <w:szCs w:val="20"/>
              </w:rPr>
              <w:t xml:space="preserve"> Kbt. 75. § (2) bekezdés </w:t>
            </w:r>
            <w:r>
              <w:rPr>
                <w:b/>
                <w:bCs/>
                <w:i/>
                <w:iCs/>
                <w:sz w:val="20"/>
                <w:szCs w:val="20"/>
              </w:rPr>
              <w:t xml:space="preserve">e) </w:t>
            </w:r>
            <w:r>
              <w:rPr>
                <w:b/>
                <w:bCs/>
                <w:sz w:val="20"/>
                <w:szCs w:val="20"/>
              </w:rPr>
              <w:t>pontjának alkalmazására vonatkozó információk:</w:t>
            </w:r>
            <w:r w:rsidR="00D34343">
              <w:rPr>
                <w:b/>
                <w:bCs/>
                <w:sz w:val="20"/>
                <w:szCs w:val="20"/>
              </w:rPr>
              <w:t xml:space="preserve"> </w:t>
            </w:r>
            <w:r w:rsidR="00D34343" w:rsidRPr="00D34343">
              <w:rPr>
                <w:color w:val="0070C0"/>
                <w:sz w:val="20"/>
                <w:szCs w:val="20"/>
              </w:rPr>
              <w:t>Ajánlatkérő nem alkalmazza a 75. § (2) bekezdés e) pontja szerinti eredménytelenségi okot.</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spacing w:before="120" w:after="120"/>
              <w:ind w:left="56" w:right="56"/>
              <w:rPr>
                <w:b/>
                <w:bCs/>
                <w:sz w:val="20"/>
                <w:szCs w:val="20"/>
              </w:rPr>
            </w:pPr>
            <w:r>
              <w:rPr>
                <w:sz w:val="20"/>
                <w:szCs w:val="20"/>
              </w:rPr>
              <w:lastRenderedPageBreak/>
              <w:t xml:space="preserve"> </w:t>
            </w:r>
            <w:r>
              <w:rPr>
                <w:b/>
                <w:bCs/>
                <w:sz w:val="20"/>
                <w:szCs w:val="20"/>
              </w:rPr>
              <w:t>V. szakasz: Eljárás</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spacing w:after="120"/>
              <w:ind w:left="56" w:right="56"/>
              <w:rPr>
                <w:b/>
                <w:bCs/>
                <w:sz w:val="20"/>
                <w:szCs w:val="20"/>
              </w:rPr>
            </w:pPr>
            <w:r>
              <w:rPr>
                <w:sz w:val="20"/>
                <w:szCs w:val="20"/>
              </w:rPr>
              <w:t xml:space="preserve"> </w:t>
            </w:r>
            <w:r>
              <w:rPr>
                <w:b/>
                <w:bCs/>
                <w:sz w:val="20"/>
                <w:szCs w:val="20"/>
              </w:rPr>
              <w:t>V.1) Adminisztratív információk</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064123">
            <w:pPr>
              <w:ind w:left="56" w:right="56"/>
              <w:rPr>
                <w:i/>
                <w:iCs/>
                <w:sz w:val="20"/>
                <w:szCs w:val="20"/>
              </w:rPr>
            </w:pPr>
            <w:r>
              <w:rPr>
                <w:sz w:val="20"/>
                <w:szCs w:val="20"/>
              </w:rPr>
              <w:t xml:space="preserve"> </w:t>
            </w:r>
            <w:r>
              <w:rPr>
                <w:b/>
                <w:bCs/>
                <w:sz w:val="20"/>
                <w:szCs w:val="20"/>
              </w:rPr>
              <w:t>V.1.1) Az eljárás iránti érdeklődés jelzésének határideje</w:t>
            </w:r>
            <w:r>
              <w:rPr>
                <w:b/>
                <w:bCs/>
                <w:sz w:val="20"/>
                <w:szCs w:val="20"/>
              </w:rPr>
              <w:br/>
            </w:r>
            <w:r>
              <w:rPr>
                <w:sz w:val="20"/>
                <w:szCs w:val="20"/>
              </w:rPr>
              <w:t xml:space="preserve">Dátum: </w:t>
            </w:r>
            <w:r w:rsidR="007B1BF4" w:rsidRPr="007B1BF4">
              <w:rPr>
                <w:i/>
                <w:iCs/>
                <w:color w:val="0070C0"/>
                <w:sz w:val="20"/>
                <w:szCs w:val="20"/>
              </w:rPr>
              <w:t>2017</w:t>
            </w:r>
            <w:r w:rsidRPr="007B1BF4">
              <w:rPr>
                <w:i/>
                <w:iCs/>
                <w:color w:val="0070C0"/>
                <w:sz w:val="20"/>
                <w:szCs w:val="20"/>
              </w:rPr>
              <w:t>/</w:t>
            </w:r>
            <w:r w:rsidR="007B1BF4" w:rsidRPr="007B1BF4">
              <w:rPr>
                <w:i/>
                <w:iCs/>
                <w:color w:val="0070C0"/>
                <w:sz w:val="20"/>
                <w:szCs w:val="20"/>
              </w:rPr>
              <w:t>05</w:t>
            </w:r>
            <w:r w:rsidRPr="007B1BF4">
              <w:rPr>
                <w:i/>
                <w:iCs/>
                <w:color w:val="0070C0"/>
                <w:sz w:val="20"/>
                <w:szCs w:val="20"/>
              </w:rPr>
              <w:t>/</w:t>
            </w:r>
            <w:proofErr w:type="gramStart"/>
            <w:r w:rsidR="007B1BF4" w:rsidRPr="007B1BF4">
              <w:rPr>
                <w:i/>
                <w:iCs/>
                <w:color w:val="0070C0"/>
                <w:sz w:val="20"/>
                <w:szCs w:val="20"/>
              </w:rPr>
              <w:t>18</w:t>
            </w:r>
            <w:r w:rsidR="007B1BF4">
              <w:rPr>
                <w:i/>
                <w:iCs/>
                <w:color w:val="0070C0"/>
                <w:sz w:val="20"/>
                <w:szCs w:val="20"/>
              </w:rPr>
              <w:t xml:space="preserve">  </w:t>
            </w:r>
            <w:r>
              <w:rPr>
                <w:sz w:val="20"/>
                <w:szCs w:val="20"/>
              </w:rPr>
              <w:t>Helyi</w:t>
            </w:r>
            <w:proofErr w:type="gramEnd"/>
            <w:r>
              <w:rPr>
                <w:sz w:val="20"/>
                <w:szCs w:val="20"/>
              </w:rPr>
              <w:t xml:space="preserve"> idő: </w:t>
            </w:r>
            <w:r w:rsidR="007B1BF4" w:rsidRPr="007B1BF4">
              <w:rPr>
                <w:i/>
                <w:iCs/>
                <w:color w:val="0070C0"/>
                <w:sz w:val="20"/>
                <w:szCs w:val="20"/>
              </w:rPr>
              <w:t>1</w:t>
            </w:r>
            <w:r w:rsidR="00064123">
              <w:rPr>
                <w:i/>
                <w:iCs/>
                <w:color w:val="0070C0"/>
                <w:sz w:val="20"/>
                <w:szCs w:val="20"/>
              </w:rPr>
              <w:t>0</w:t>
            </w:r>
            <w:r w:rsidRPr="007B1BF4">
              <w:rPr>
                <w:i/>
                <w:iCs/>
                <w:color w:val="0070C0"/>
                <w:sz w:val="20"/>
                <w:szCs w:val="20"/>
              </w:rPr>
              <w:t>:</w:t>
            </w:r>
            <w:r w:rsidR="007B1BF4" w:rsidRPr="007B1BF4">
              <w:rPr>
                <w:i/>
                <w:iCs/>
                <w:color w:val="0070C0"/>
                <w:sz w:val="20"/>
                <w:szCs w:val="20"/>
              </w:rPr>
              <w:t>00</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spacing w:before="120" w:after="120"/>
              <w:ind w:left="56" w:right="56"/>
              <w:rPr>
                <w:b/>
                <w:bCs/>
                <w:sz w:val="20"/>
                <w:szCs w:val="20"/>
              </w:rPr>
            </w:pPr>
            <w:r>
              <w:rPr>
                <w:sz w:val="20"/>
                <w:szCs w:val="20"/>
              </w:rPr>
              <w:t xml:space="preserve"> </w:t>
            </w:r>
            <w:r>
              <w:rPr>
                <w:b/>
                <w:bCs/>
                <w:sz w:val="20"/>
                <w:szCs w:val="20"/>
              </w:rPr>
              <w:t>VI. szakasz: Kiegészítő információk</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spacing w:after="120"/>
              <w:ind w:left="56" w:right="56"/>
              <w:rPr>
                <w:b/>
                <w:bCs/>
                <w:sz w:val="20"/>
                <w:szCs w:val="20"/>
              </w:rPr>
            </w:pPr>
            <w:r>
              <w:rPr>
                <w:sz w:val="20"/>
                <w:szCs w:val="20"/>
              </w:rPr>
              <w:t xml:space="preserve"> </w:t>
            </w:r>
            <w:r>
              <w:rPr>
                <w:b/>
                <w:bCs/>
                <w:sz w:val="20"/>
                <w:szCs w:val="20"/>
              </w:rPr>
              <w:t>VI.1) További információk:</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064123">
            <w:pPr>
              <w:ind w:left="56" w:right="56"/>
              <w:rPr>
                <w:b/>
                <w:bCs/>
                <w:sz w:val="20"/>
                <w:szCs w:val="20"/>
              </w:rPr>
            </w:pPr>
            <w:r>
              <w:rPr>
                <w:sz w:val="20"/>
                <w:szCs w:val="20"/>
              </w:rPr>
              <w:t xml:space="preserve"> </w:t>
            </w:r>
            <w:r>
              <w:rPr>
                <w:b/>
                <w:bCs/>
                <w:sz w:val="20"/>
                <w:szCs w:val="20"/>
              </w:rPr>
              <w:t>VI.1.1) Ajánlatkérő felhívja a gazdasági szereplők figyelmét, hogy érdeklődésüket az eljárás iránt az</w:t>
            </w:r>
            <w:r w:rsidR="00064123">
              <w:rPr>
                <w:b/>
                <w:bCs/>
                <w:sz w:val="20"/>
                <w:szCs w:val="20"/>
              </w:rPr>
              <w:t xml:space="preserve"> I.2) pontban megadott címen a </w:t>
            </w:r>
            <w:r>
              <w:rPr>
                <w:b/>
                <w:bCs/>
                <w:sz w:val="20"/>
                <w:szCs w:val="20"/>
              </w:rPr>
              <w:t>V.</w:t>
            </w:r>
            <w:r w:rsidR="00064123">
              <w:rPr>
                <w:b/>
                <w:bCs/>
                <w:sz w:val="20"/>
                <w:szCs w:val="20"/>
              </w:rPr>
              <w:t>1</w:t>
            </w:r>
            <w:r>
              <w:rPr>
                <w:b/>
                <w:bCs/>
                <w:sz w:val="20"/>
                <w:szCs w:val="20"/>
              </w:rPr>
              <w:t>.1) pontban meghatározott időpontig jelezzék.</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single" w:sz="4" w:space="0" w:color="auto"/>
              <w:bottom w:val="single" w:sz="4" w:space="0" w:color="auto"/>
              <w:right w:val="single" w:sz="4" w:space="0" w:color="auto"/>
            </w:tcBorders>
          </w:tcPr>
          <w:p w:rsidR="00095B70" w:rsidRDefault="00095B70" w:rsidP="007B1BF4">
            <w:pPr>
              <w:ind w:left="56" w:right="56"/>
              <w:rPr>
                <w:sz w:val="20"/>
                <w:szCs w:val="20"/>
              </w:rPr>
            </w:pPr>
            <w:r>
              <w:rPr>
                <w:sz w:val="20"/>
                <w:szCs w:val="20"/>
              </w:rPr>
              <w:t xml:space="preserve"> </w:t>
            </w:r>
            <w:r>
              <w:rPr>
                <w:b/>
                <w:bCs/>
                <w:sz w:val="20"/>
                <w:szCs w:val="20"/>
              </w:rPr>
              <w:t>VI.1.2) További információk:</w:t>
            </w:r>
          </w:p>
          <w:p w:rsidR="00064123" w:rsidRPr="00064123" w:rsidRDefault="00064123" w:rsidP="00064123">
            <w:pPr>
              <w:spacing w:before="60"/>
              <w:rPr>
                <w:color w:val="0070C0"/>
                <w:sz w:val="20"/>
                <w:szCs w:val="20"/>
              </w:rPr>
            </w:pPr>
            <w:r w:rsidRPr="00064123">
              <w:rPr>
                <w:color w:val="0070C0"/>
                <w:sz w:val="20"/>
                <w:szCs w:val="20"/>
              </w:rPr>
              <w:t>Fő CPV kód: 31.17.40.00-</w:t>
            </w:r>
            <w:bookmarkStart w:id="1" w:name="_GoBack"/>
            <w:bookmarkEnd w:id="1"/>
            <w:r w:rsidRPr="00064123">
              <w:rPr>
                <w:color w:val="0070C0"/>
                <w:sz w:val="20"/>
                <w:szCs w:val="20"/>
              </w:rPr>
              <w:t>6</w:t>
            </w:r>
          </w:p>
          <w:p w:rsidR="00064123" w:rsidRPr="00064123" w:rsidRDefault="00064123" w:rsidP="00064123">
            <w:pPr>
              <w:spacing w:before="60"/>
              <w:rPr>
                <w:color w:val="0070C0"/>
                <w:sz w:val="20"/>
                <w:szCs w:val="20"/>
              </w:rPr>
            </w:pPr>
            <w:r w:rsidRPr="00064123">
              <w:rPr>
                <w:color w:val="0070C0"/>
                <w:sz w:val="20"/>
                <w:szCs w:val="20"/>
              </w:rPr>
              <w:t>A gazdasági szereplők érdeklődésüket a Kbt. 41. § alapján írásban fejezhetik ki postai vagy közvetlen kézbesítés útján vagy elektronikus levél útján.</w:t>
            </w:r>
          </w:p>
          <w:p w:rsidR="00064123" w:rsidRPr="00064123" w:rsidRDefault="00064123" w:rsidP="00064123">
            <w:pPr>
              <w:spacing w:before="60"/>
              <w:rPr>
                <w:color w:val="0070C0"/>
                <w:sz w:val="20"/>
                <w:szCs w:val="20"/>
              </w:rPr>
            </w:pPr>
            <w:r w:rsidRPr="00064123">
              <w:rPr>
                <w:color w:val="0070C0"/>
                <w:sz w:val="20"/>
                <w:szCs w:val="20"/>
              </w:rPr>
              <w:t>A Kbt. 113. § (1) bekezdés értelmében az elektronikus úton tett nyilatkozatot a gazdasági szereplőknek nem szükséges elektronikus aláírással ellátniuk.</w:t>
            </w:r>
          </w:p>
          <w:p w:rsidR="00064123" w:rsidRPr="00064123" w:rsidRDefault="00064123" w:rsidP="00064123">
            <w:pPr>
              <w:spacing w:before="60"/>
              <w:rPr>
                <w:color w:val="0070C0"/>
                <w:sz w:val="20"/>
                <w:szCs w:val="20"/>
              </w:rPr>
            </w:pPr>
            <w:r w:rsidRPr="00064123">
              <w:rPr>
                <w:color w:val="0070C0"/>
                <w:sz w:val="20"/>
                <w:szCs w:val="20"/>
              </w:rPr>
              <w:t>Az érdeklődést kifejtő nyilatkozatban az alábbi adatokat kell megadni.</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Érdeklődő neve,</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Érdeklődő címe,</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Érdeklődő adószáma,</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Érdeklődő cégjegyzékszáma,</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Érdeklődő kapcsolattartójának neve, beosztása</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Kapcsolattartó elérhetősége (telefonszám, e-mail cím)</w:t>
            </w:r>
          </w:p>
          <w:p w:rsidR="00064123" w:rsidRPr="00064123" w:rsidRDefault="00064123" w:rsidP="00064123">
            <w:pPr>
              <w:pStyle w:val="Listaszerbekezds"/>
              <w:numPr>
                <w:ilvl w:val="0"/>
                <w:numId w:val="1"/>
              </w:numPr>
              <w:spacing w:before="60"/>
              <w:ind w:left="0" w:firstLine="0"/>
              <w:contextualSpacing w:val="0"/>
              <w:jc w:val="left"/>
              <w:rPr>
                <w:rFonts w:eastAsiaTheme="minorEastAsia"/>
                <w:color w:val="0070C0"/>
                <w:sz w:val="20"/>
                <w:szCs w:val="20"/>
                <w:lang w:eastAsia="hu-HU"/>
              </w:rPr>
            </w:pPr>
            <w:r w:rsidRPr="00064123">
              <w:rPr>
                <w:rFonts w:eastAsiaTheme="minorEastAsia"/>
                <w:color w:val="0070C0"/>
                <w:sz w:val="20"/>
                <w:szCs w:val="20"/>
                <w:lang w:eastAsia="hu-HU"/>
              </w:rPr>
              <w:t>Az a cím (név, cím, telefonszám, e-mail cím), amelyre az Ajánlatkérő az eljárást megindító felhívást megküldheti.</w:t>
            </w:r>
          </w:p>
          <w:p w:rsidR="00064123" w:rsidRPr="00064123" w:rsidRDefault="00064123" w:rsidP="00064123">
            <w:pPr>
              <w:spacing w:before="60"/>
              <w:rPr>
                <w:color w:val="0070C0"/>
                <w:sz w:val="20"/>
                <w:szCs w:val="20"/>
              </w:rPr>
            </w:pPr>
            <w:r w:rsidRPr="00064123">
              <w:rPr>
                <w:color w:val="0070C0"/>
                <w:sz w:val="20"/>
                <w:szCs w:val="20"/>
              </w:rPr>
              <w:t>Az Ajánlatkérő az eljárást megindító felhívást a gazdasági szereplők részére egyidejűleg, közvetlenül írásban 2017. május 18. 24:00 óráig küldi meg.</w:t>
            </w:r>
          </w:p>
          <w:p w:rsidR="00064123" w:rsidRPr="00064123" w:rsidRDefault="00064123" w:rsidP="00064123">
            <w:pPr>
              <w:spacing w:before="60"/>
              <w:rPr>
                <w:color w:val="0070C0"/>
                <w:sz w:val="20"/>
                <w:szCs w:val="20"/>
              </w:rPr>
            </w:pPr>
            <w:r w:rsidRPr="00064123">
              <w:rPr>
                <w:color w:val="0070C0"/>
                <w:sz w:val="20"/>
                <w:szCs w:val="20"/>
              </w:rPr>
              <w:t xml:space="preserve">Az ajánlatkérő a közbeszerzési dokumentumokat legkésőbb a felhívás megküldésének napján az 57. § rendelkezéseinek megfelelően rendelkezésre bocsátja. </w:t>
            </w:r>
          </w:p>
          <w:p w:rsidR="00064123" w:rsidRPr="00064123" w:rsidRDefault="00064123" w:rsidP="00064123">
            <w:pPr>
              <w:spacing w:before="60"/>
              <w:rPr>
                <w:color w:val="0070C0"/>
                <w:sz w:val="20"/>
                <w:szCs w:val="20"/>
              </w:rPr>
            </w:pPr>
            <w:r w:rsidRPr="00064123">
              <w:rPr>
                <w:color w:val="0070C0"/>
                <w:sz w:val="20"/>
                <w:szCs w:val="20"/>
              </w:rPr>
              <w:t xml:space="preserve">Az eljárásban kizárólag azok a gazdasági szereplők tehetnek ajánlatot, amelyeknek az ajánlatkérő az eljárást megindító felhívást megküldte. </w:t>
            </w:r>
          </w:p>
          <w:p w:rsidR="00064123" w:rsidRPr="00064123" w:rsidRDefault="00064123" w:rsidP="00064123">
            <w:pPr>
              <w:jc w:val="both"/>
              <w:rPr>
                <w:color w:val="0070C0"/>
                <w:sz w:val="20"/>
                <w:szCs w:val="20"/>
              </w:rPr>
            </w:pPr>
            <w:r w:rsidRPr="00064123">
              <w:rPr>
                <w:color w:val="0070C0"/>
                <w:sz w:val="20"/>
                <w:szCs w:val="20"/>
              </w:rPr>
              <w:t>Bármely gazdasági szereplő, amelynek az Ajánlatkérő az eljárást megindító felhívást megküldte, jogosult közösen ajánlatot tenni olyan gazdasági szereplővel is, amelynek az ajánlatkérő nem küldött eljárást megindító felhívást.</w:t>
            </w:r>
          </w:p>
          <w:p w:rsidR="00064123" w:rsidRDefault="00064123" w:rsidP="007B1BF4">
            <w:pPr>
              <w:ind w:left="56" w:right="56"/>
              <w:rPr>
                <w:sz w:val="20"/>
                <w:szCs w:val="20"/>
              </w:rPr>
            </w:pP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064123">
            <w:pPr>
              <w:spacing w:before="120" w:after="120"/>
              <w:ind w:left="56" w:right="56"/>
              <w:rPr>
                <w:i/>
                <w:iCs/>
                <w:sz w:val="20"/>
                <w:szCs w:val="20"/>
              </w:rPr>
            </w:pPr>
            <w:r>
              <w:rPr>
                <w:sz w:val="20"/>
                <w:szCs w:val="20"/>
              </w:rPr>
              <w:t xml:space="preserve"> </w:t>
            </w:r>
            <w:r>
              <w:rPr>
                <w:b/>
                <w:bCs/>
                <w:sz w:val="20"/>
                <w:szCs w:val="20"/>
              </w:rPr>
              <w:t xml:space="preserve">VI.2) Az összefoglaló tájékoztatás megküldésének dátuma: </w:t>
            </w:r>
            <w:r>
              <w:rPr>
                <w:i/>
                <w:iCs/>
                <w:sz w:val="20"/>
                <w:szCs w:val="20"/>
              </w:rPr>
              <w:t>(</w:t>
            </w:r>
            <w:r w:rsidRPr="00064123">
              <w:rPr>
                <w:i/>
                <w:iCs/>
                <w:color w:val="0070C0"/>
                <w:sz w:val="20"/>
                <w:szCs w:val="20"/>
              </w:rPr>
              <w:t>2017/05/02</w:t>
            </w:r>
            <w:r>
              <w:rPr>
                <w:i/>
                <w:iCs/>
                <w:sz w:val="20"/>
                <w:szCs w:val="20"/>
              </w:rPr>
              <w:t>)</w:t>
            </w:r>
          </w:p>
        </w:tc>
      </w:tr>
      <w:tr w:rsidR="00095B70" w:rsidTr="007B1BF4">
        <w:tblPrEx>
          <w:tblCellMar>
            <w:top w:w="0" w:type="dxa"/>
            <w:left w:w="0" w:type="dxa"/>
            <w:bottom w:w="0" w:type="dxa"/>
            <w:right w:w="0" w:type="dxa"/>
          </w:tblCellMar>
        </w:tblPrEx>
        <w:tc>
          <w:tcPr>
            <w:tcW w:w="9638" w:type="dxa"/>
            <w:gridSpan w:val="3"/>
            <w:tcBorders>
              <w:top w:val="nil"/>
              <w:left w:val="nil"/>
              <w:bottom w:val="single" w:sz="4" w:space="0" w:color="auto"/>
              <w:right w:val="nil"/>
            </w:tcBorders>
          </w:tcPr>
          <w:p w:rsidR="00095B70" w:rsidRDefault="00095B70" w:rsidP="007B1BF4">
            <w:pPr>
              <w:rPr>
                <w:sz w:val="20"/>
                <w:szCs w:val="20"/>
              </w:rPr>
            </w:pPr>
            <w:r>
              <w:rPr>
                <w:sz w:val="20"/>
                <w:szCs w:val="20"/>
              </w:rPr>
              <w:t xml:space="preserve"> </w:t>
            </w:r>
          </w:p>
        </w:tc>
      </w:tr>
      <w:tr w:rsidR="00095B70" w:rsidTr="007B1BF4">
        <w:tblPrEx>
          <w:tblCellMar>
            <w:top w:w="0" w:type="dxa"/>
            <w:left w:w="0" w:type="dxa"/>
            <w:bottom w:w="0" w:type="dxa"/>
            <w:right w:w="0" w:type="dxa"/>
          </w:tblCellMar>
        </w:tblPrEx>
        <w:tc>
          <w:tcPr>
            <w:tcW w:w="9638" w:type="dxa"/>
            <w:gridSpan w:val="3"/>
            <w:tcBorders>
              <w:top w:val="single" w:sz="4" w:space="0" w:color="auto"/>
              <w:left w:val="nil"/>
              <w:bottom w:val="nil"/>
              <w:right w:val="nil"/>
            </w:tcBorders>
          </w:tcPr>
          <w:p w:rsidR="00095B70" w:rsidRDefault="00095B70" w:rsidP="007B1BF4">
            <w:pPr>
              <w:rPr>
                <w:sz w:val="20"/>
                <w:szCs w:val="20"/>
              </w:rPr>
            </w:pPr>
            <w:r>
              <w:rPr>
                <w:sz w:val="20"/>
                <w:szCs w:val="20"/>
              </w:rPr>
              <w:t xml:space="preserve"> </w:t>
            </w:r>
          </w:p>
        </w:tc>
      </w:tr>
      <w:tr w:rsidR="00095B70" w:rsidTr="007B1BF4">
        <w:tblPrEx>
          <w:tblCellMar>
            <w:top w:w="0" w:type="dxa"/>
            <w:left w:w="0" w:type="dxa"/>
            <w:bottom w:w="0" w:type="dxa"/>
            <w:right w:w="0" w:type="dxa"/>
          </w:tblCellMar>
        </w:tblPrEx>
        <w:trPr>
          <w:trHeight w:val="1248"/>
        </w:trPr>
        <w:tc>
          <w:tcPr>
            <w:tcW w:w="9638" w:type="dxa"/>
            <w:gridSpan w:val="3"/>
            <w:tcBorders>
              <w:top w:val="nil"/>
              <w:left w:val="nil"/>
              <w:bottom w:val="nil"/>
              <w:right w:val="nil"/>
            </w:tcBorders>
          </w:tcPr>
          <w:p w:rsidR="00095B70" w:rsidRDefault="00095B70" w:rsidP="007B1BF4">
            <w:pPr>
              <w:ind w:left="56" w:right="56"/>
              <w:rPr>
                <w:i/>
                <w:iCs/>
                <w:sz w:val="20"/>
                <w:szCs w:val="20"/>
              </w:rPr>
            </w:pPr>
            <w:r>
              <w:rPr>
                <w:sz w:val="20"/>
                <w:szCs w:val="20"/>
              </w:rPr>
              <w:t xml:space="preserve"> 1 </w:t>
            </w:r>
            <w:r>
              <w:rPr>
                <w:i/>
                <w:iCs/>
                <w:sz w:val="20"/>
                <w:szCs w:val="20"/>
              </w:rPr>
              <w:t>szükség szerinti számban ismételje meg</w:t>
            </w:r>
            <w:r>
              <w:rPr>
                <w:i/>
                <w:iCs/>
                <w:sz w:val="20"/>
                <w:szCs w:val="20"/>
              </w:rPr>
              <w:br/>
            </w:r>
            <w:r>
              <w:rPr>
                <w:sz w:val="20"/>
                <w:szCs w:val="20"/>
              </w:rPr>
              <w:t xml:space="preserve">2 </w:t>
            </w:r>
            <w:r>
              <w:rPr>
                <w:i/>
                <w:iCs/>
                <w:sz w:val="20"/>
                <w:szCs w:val="20"/>
              </w:rPr>
              <w:t>adott esetben</w:t>
            </w:r>
            <w:r>
              <w:rPr>
                <w:i/>
                <w:iCs/>
                <w:sz w:val="20"/>
                <w:szCs w:val="20"/>
              </w:rPr>
              <w:br/>
            </w:r>
            <w:r>
              <w:rPr>
                <w:sz w:val="20"/>
                <w:szCs w:val="20"/>
              </w:rPr>
              <w:t xml:space="preserve">3 </w:t>
            </w:r>
            <w:r>
              <w:rPr>
                <w:i/>
                <w:iCs/>
                <w:sz w:val="20"/>
                <w:szCs w:val="20"/>
              </w:rPr>
              <w:t>súlyszám helyett fontosság is megadható</w:t>
            </w:r>
            <w:r>
              <w:rPr>
                <w:i/>
                <w:iCs/>
                <w:sz w:val="20"/>
                <w:szCs w:val="20"/>
              </w:rPr>
              <w:br/>
            </w:r>
            <w:r>
              <w:rPr>
                <w:sz w:val="20"/>
                <w:szCs w:val="20"/>
              </w:rPr>
              <w:t xml:space="preserve">4 </w:t>
            </w:r>
            <w:r>
              <w:rPr>
                <w:i/>
                <w:iCs/>
                <w:sz w:val="20"/>
                <w:szCs w:val="20"/>
              </w:rPr>
              <w:t>súlyszám helyett fontosság is megadható; ha az ár az egyetlen értékelési szempont, súlyszám nem szükséges</w:t>
            </w:r>
          </w:p>
        </w:tc>
      </w:tr>
    </w:tbl>
    <w:p w:rsidR="00EF52BF" w:rsidRDefault="00EF52BF"/>
    <w:sectPr w:rsidR="00EF52BF" w:rsidSect="00EF52B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BF4" w:rsidRDefault="007B1BF4" w:rsidP="00095B70">
      <w:r>
        <w:separator/>
      </w:r>
    </w:p>
  </w:endnote>
  <w:endnote w:type="continuationSeparator" w:id="0">
    <w:p w:rsidR="007B1BF4" w:rsidRDefault="007B1BF4" w:rsidP="00095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BF4" w:rsidRDefault="007B1BF4" w:rsidP="00095B70">
      <w:r>
        <w:separator/>
      </w:r>
    </w:p>
  </w:footnote>
  <w:footnote w:type="continuationSeparator" w:id="0">
    <w:p w:rsidR="007B1BF4" w:rsidRDefault="007B1BF4" w:rsidP="00095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74F8"/>
    <w:multiLevelType w:val="hybridMultilevel"/>
    <w:tmpl w:val="4E5A42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characterSpacingControl w:val="doNotCompress"/>
  <w:footnotePr>
    <w:footnote w:id="-1"/>
    <w:footnote w:id="0"/>
  </w:footnotePr>
  <w:endnotePr>
    <w:endnote w:id="-1"/>
    <w:endnote w:id="0"/>
  </w:endnotePr>
  <w:compat/>
  <w:rsids>
    <w:rsidRoot w:val="00095B70"/>
    <w:rsid w:val="00064123"/>
    <w:rsid w:val="00095B70"/>
    <w:rsid w:val="007B1BF4"/>
    <w:rsid w:val="00904E77"/>
    <w:rsid w:val="00D34343"/>
    <w:rsid w:val="00D93437"/>
    <w:rsid w:val="00EF52B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5B70"/>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3">
    <w:name w:val="Body Text Indent 3"/>
    <w:basedOn w:val="Norml"/>
    <w:link w:val="Szvegtrzsbehzssal3Char"/>
    <w:rsid w:val="007B1BF4"/>
    <w:pPr>
      <w:widowControl/>
      <w:autoSpaceDE/>
      <w:autoSpaceDN/>
      <w:adjustRightInd/>
      <w:spacing w:before="120"/>
      <w:ind w:left="284"/>
    </w:pPr>
    <w:rPr>
      <w:rFonts w:eastAsia="Times New Roman"/>
      <w:szCs w:val="20"/>
    </w:rPr>
  </w:style>
  <w:style w:type="character" w:customStyle="1" w:styleId="Szvegtrzsbehzssal3Char">
    <w:name w:val="Szövegtörzs behúzással 3 Char"/>
    <w:basedOn w:val="Bekezdsalapbettpusa"/>
    <w:link w:val="Szvegtrzsbehzssal3"/>
    <w:rsid w:val="007B1BF4"/>
    <w:rPr>
      <w:rFonts w:ascii="Times New Roman" w:eastAsia="Times New Roman" w:hAnsi="Times New Roman" w:cs="Times New Roman"/>
      <w:sz w:val="24"/>
      <w:szCs w:val="20"/>
      <w:lang w:eastAsia="hu-HU"/>
    </w:rPr>
  </w:style>
  <w:style w:type="paragraph" w:styleId="Listaszerbekezds">
    <w:name w:val="List Paragraph"/>
    <w:basedOn w:val="Norml"/>
    <w:uiPriority w:val="34"/>
    <w:qFormat/>
    <w:rsid w:val="00064123"/>
    <w:pPr>
      <w:widowControl/>
      <w:autoSpaceDE/>
      <w:autoSpaceDN/>
      <w:adjustRightInd/>
      <w:ind w:left="720"/>
      <w:contextualSpacing/>
      <w:jc w:val="both"/>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1861</Words>
  <Characters>12841</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DEMASZ ZRT.</Company>
  <LinksUpToDate>false</LinksUpToDate>
  <CharactersWithSpaces>14673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mi003913</dc:creator>
  <cp:lastModifiedBy>mi003913</cp:lastModifiedBy>
  <cp:revision>1</cp:revision>
  <dcterms:created xsi:type="dcterms:W3CDTF">2017-05-02T09:06:00Z</dcterms:created>
  <dcterms:modified xsi:type="dcterms:W3CDTF">2017-05-02T11:25:00Z</dcterms:modified>
</cp:coreProperties>
</file>